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61" w:rsidRDefault="00ED4F61" w:rsidP="00ED4F61">
      <w:pPr>
        <w:jc w:val="center"/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s-MX"/>
        </w:rPr>
        <w:drawing>
          <wp:inline distT="0" distB="0" distL="0" distR="0">
            <wp:extent cx="1419225" cy="1057275"/>
            <wp:effectExtent l="0" t="0" r="0" b="9525"/>
            <wp:docPr id="1" name="Imagen 1" descr="Resultado de imagen para escudo de la enep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61" w:rsidRDefault="00ED4F61" w:rsidP="00ED4F61">
      <w:pPr>
        <w:jc w:val="center"/>
        <w:rPr>
          <w:sz w:val="28"/>
        </w:rPr>
      </w:pPr>
      <w:r>
        <w:rPr>
          <w:sz w:val="28"/>
        </w:rPr>
        <w:t>Escuela Normal de Educación Preescolar</w:t>
      </w:r>
    </w:p>
    <w:p w:rsidR="00ED4F61" w:rsidRDefault="00ED4F61" w:rsidP="00ED4F61">
      <w:pPr>
        <w:jc w:val="center"/>
        <w:rPr>
          <w:sz w:val="28"/>
        </w:rPr>
      </w:pPr>
      <w:r>
        <w:rPr>
          <w:sz w:val="28"/>
        </w:rPr>
        <w:t>Forma Espacio y Medida</w:t>
      </w:r>
    </w:p>
    <w:p w:rsidR="00ED4F61" w:rsidRDefault="00ED4F61" w:rsidP="00ED4F61">
      <w:pPr>
        <w:jc w:val="center"/>
        <w:rPr>
          <w:sz w:val="28"/>
        </w:rPr>
      </w:pPr>
      <w:r>
        <w:rPr>
          <w:sz w:val="28"/>
        </w:rPr>
        <w:t>Nombre:</w:t>
      </w:r>
    </w:p>
    <w:p w:rsidR="00ED4F61" w:rsidRDefault="00ED4F61" w:rsidP="00ED4F61">
      <w:pPr>
        <w:jc w:val="center"/>
        <w:rPr>
          <w:sz w:val="28"/>
        </w:rPr>
      </w:pPr>
      <w:r>
        <w:rPr>
          <w:sz w:val="28"/>
        </w:rPr>
        <w:t>N.L.</w:t>
      </w:r>
    </w:p>
    <w:p w:rsidR="00ED4F61" w:rsidRDefault="00ED4F61" w:rsidP="00ED4F61">
      <w:pPr>
        <w:jc w:val="center"/>
        <w:rPr>
          <w:sz w:val="28"/>
        </w:rPr>
      </w:pPr>
      <w:r>
        <w:rPr>
          <w:b/>
          <w:sz w:val="28"/>
        </w:rPr>
        <w:t>Unidad 2</w:t>
      </w:r>
      <w:bookmarkStart w:id="0" w:name="_GoBack"/>
      <w:bookmarkEnd w:id="0"/>
      <w:r>
        <w:rPr>
          <w:b/>
          <w:sz w:val="28"/>
        </w:rPr>
        <w:t xml:space="preserve">: </w:t>
      </w:r>
    </w:p>
    <w:p w:rsidR="00ED4F61" w:rsidRDefault="00ED4F61" w:rsidP="00ED4F61">
      <w:pPr>
        <w:jc w:val="center"/>
        <w:rPr>
          <w:sz w:val="28"/>
        </w:rPr>
      </w:pPr>
      <w:r>
        <w:rPr>
          <w:b/>
          <w:sz w:val="28"/>
        </w:rPr>
        <w:t xml:space="preserve">Tema: </w:t>
      </w:r>
    </w:p>
    <w:p w:rsidR="00ED4F61" w:rsidRDefault="00ED4F61" w:rsidP="00ED4F61">
      <w:pPr>
        <w:jc w:val="center"/>
        <w:rPr>
          <w:sz w:val="28"/>
        </w:rPr>
      </w:pPr>
      <w:r>
        <w:rPr>
          <w:b/>
          <w:sz w:val="28"/>
        </w:rPr>
        <w:t xml:space="preserve">Competencia a desarrollar: </w:t>
      </w:r>
    </w:p>
    <w:p w:rsidR="00ED4F61" w:rsidRDefault="00ED4F61" w:rsidP="00ED4F61">
      <w:pPr>
        <w:jc w:val="center"/>
        <w:rPr>
          <w:sz w:val="28"/>
        </w:rPr>
      </w:pPr>
      <w:r>
        <w:rPr>
          <w:b/>
          <w:sz w:val="28"/>
        </w:rPr>
        <w:t xml:space="preserve">Aprendizaje Esperado: </w:t>
      </w:r>
    </w:p>
    <w:p w:rsidR="00ED4F61" w:rsidRDefault="00ED4F61" w:rsidP="00ED4F61">
      <w:pPr>
        <w:jc w:val="center"/>
        <w:rPr>
          <w:sz w:val="28"/>
        </w:rPr>
      </w:pPr>
      <w:r>
        <w:rPr>
          <w:b/>
          <w:sz w:val="28"/>
        </w:rPr>
        <w:t xml:space="preserve">Rasgos o competencias esperados del perfil de egreso: </w:t>
      </w:r>
    </w:p>
    <w:p w:rsidR="00ED4F61" w:rsidRDefault="00ED4F61" w:rsidP="00ED4F61">
      <w:pPr>
        <w:jc w:val="center"/>
        <w:rPr>
          <w:b/>
          <w:sz w:val="28"/>
        </w:rPr>
      </w:pPr>
      <w:r>
        <w:rPr>
          <w:b/>
          <w:sz w:val="28"/>
        </w:rPr>
        <w:t>Tema del trabajo a desarrolla</w:t>
      </w:r>
    </w:p>
    <w:p w:rsidR="00ED4F61" w:rsidRDefault="00ED4F61" w:rsidP="002F6526">
      <w:pPr>
        <w:rPr>
          <w:b/>
        </w:rPr>
      </w:pPr>
    </w:p>
    <w:p w:rsidR="00ED4F61" w:rsidRDefault="00ED4F61" w:rsidP="002F6526">
      <w:pPr>
        <w:rPr>
          <w:b/>
        </w:rPr>
      </w:pPr>
    </w:p>
    <w:p w:rsidR="00ED4F61" w:rsidRDefault="00ED4F61" w:rsidP="002F6526">
      <w:pPr>
        <w:rPr>
          <w:b/>
        </w:rPr>
      </w:pPr>
    </w:p>
    <w:p w:rsidR="00ED4F61" w:rsidRDefault="00ED4F61" w:rsidP="002F6526">
      <w:pPr>
        <w:rPr>
          <w:b/>
        </w:rPr>
      </w:pPr>
    </w:p>
    <w:p w:rsidR="00ED4F61" w:rsidRDefault="00ED4F61" w:rsidP="002F6526">
      <w:pPr>
        <w:rPr>
          <w:b/>
        </w:rPr>
      </w:pPr>
    </w:p>
    <w:p w:rsidR="002F6526" w:rsidRDefault="002F6526" w:rsidP="002F6526">
      <w:pPr>
        <w:rPr>
          <w:b/>
        </w:rPr>
      </w:pPr>
      <w:r>
        <w:rPr>
          <w:b/>
        </w:rPr>
        <w:t>Lista de cotejo de una secuencia didáctica</w:t>
      </w:r>
    </w:p>
    <w:tbl>
      <w:tblPr>
        <w:tblpPr w:leftFromText="141" w:rightFromText="141" w:bottomFromText="160" w:vertAnchor="text" w:horzAnchor="margin" w:tblpY="88"/>
        <w:tblW w:w="13380" w:type="dxa"/>
        <w:tblLayout w:type="fixed"/>
        <w:tblLook w:val="04A0" w:firstRow="1" w:lastRow="0" w:firstColumn="1" w:lastColumn="0" w:noHBand="0" w:noVBand="1"/>
      </w:tblPr>
      <w:tblGrid>
        <w:gridCol w:w="6690"/>
        <w:gridCol w:w="6690"/>
      </w:tblGrid>
      <w:tr w:rsidR="002F6526" w:rsidTr="002F6526">
        <w:trPr>
          <w:trHeight w:val="113"/>
        </w:trPr>
        <w:tc>
          <w:tcPr>
            <w:tcW w:w="6690" w:type="dxa"/>
            <w:tcBorders>
              <w:top w:val="single" w:sz="8" w:space="0" w:color="auto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Contenido integrador</w:t>
            </w:r>
          </w:p>
        </w:tc>
        <w:tc>
          <w:tcPr>
            <w:tcW w:w="6690" w:type="dxa"/>
            <w:tcBorders>
              <w:top w:val="single" w:sz="8" w:space="0" w:color="auto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Es de interés de los estudiantes, tiene relación con la vida cotidiana del estudiante y permite la inserción del conocimiento científico, además de ser congruente con los conceptos fundamental y subsidiario.</w:t>
            </w:r>
          </w:p>
        </w:tc>
      </w:tr>
      <w:tr w:rsidR="002F6526" w:rsidTr="002F6526">
        <w:trPr>
          <w:trHeight w:val="113"/>
        </w:trPr>
        <w:tc>
          <w:tcPr>
            <w:tcW w:w="6690" w:type="dxa"/>
            <w:tcBorders>
              <w:top w:val="nil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Concepto fundamental y contenidos</w:t>
            </w:r>
          </w:p>
        </w:tc>
        <w:tc>
          <w:tcPr>
            <w:tcW w:w="6690" w:type="dxa"/>
            <w:tcBorders>
              <w:top w:val="nil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Identifica con claridad los conceptos y contenidos que se abordarán y existe una relación lógica y congruente entre ellos.</w:t>
            </w:r>
          </w:p>
        </w:tc>
      </w:tr>
      <w:tr w:rsidR="002F6526" w:rsidTr="002F6526">
        <w:trPr>
          <w:trHeight w:val="113"/>
        </w:trPr>
        <w:tc>
          <w:tcPr>
            <w:tcW w:w="669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</w:tcPr>
          <w:p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/>
                <w:lang w:val="es-ES_tradnl"/>
              </w:rPr>
            </w:pPr>
            <w:r>
              <w:rPr>
                <w:lang w:val="es-ES_tradnl"/>
              </w:rPr>
              <w:t>Aprendizajes esperados de la secuencia didáctica</w:t>
            </w:r>
          </w:p>
          <w:p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</w:p>
        </w:tc>
        <w:tc>
          <w:tcPr>
            <w:tcW w:w="6690" w:type="dxa"/>
            <w:tcBorders>
              <w:top w:val="nil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Expresa claramente lo que se quiere que el estudiante aprenda.</w:t>
            </w:r>
          </w:p>
        </w:tc>
      </w:tr>
      <w:tr w:rsidR="002F6526" w:rsidTr="002F6526">
        <w:trPr>
          <w:trHeight w:val="113"/>
        </w:trPr>
        <w:tc>
          <w:tcPr>
            <w:tcW w:w="6690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Competencias  y estándar curricular.</w:t>
            </w:r>
          </w:p>
        </w:tc>
        <w:tc>
          <w:tcPr>
            <w:tcW w:w="6690" w:type="dxa"/>
            <w:tcBorders>
              <w:top w:val="nil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lang w:val="es-ES_tradnl"/>
              </w:rPr>
            </w:pPr>
            <w:r>
              <w:rPr>
                <w:lang w:val="es-ES_tradnl"/>
              </w:rPr>
              <w:t>Selecciona y enuncia aquellas competencias y estándares curriculares  que el estudiante adquirirá, desarrollará y utilizará para alcanzar el  aprendizaje propuesto.</w:t>
            </w:r>
          </w:p>
        </w:tc>
      </w:tr>
      <w:tr w:rsidR="002F6526" w:rsidTr="002F6526">
        <w:trPr>
          <w:trHeight w:val="113"/>
        </w:trPr>
        <w:tc>
          <w:tcPr>
            <w:tcW w:w="6690" w:type="dxa"/>
            <w:tcBorders>
              <w:top w:val="single" w:sz="4" w:space="0" w:color="auto"/>
              <w:left w:val="single" w:sz="36" w:space="0" w:color="auto"/>
              <w:bottom w:val="nil"/>
              <w:right w:val="single" w:sz="48" w:space="0" w:color="auto"/>
            </w:tcBorders>
            <w:vAlign w:val="center"/>
          </w:tcPr>
          <w:p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8" w:space="0" w:color="auto"/>
              <w:bottom w:val="nil"/>
              <w:right w:val="single" w:sz="48" w:space="0" w:color="auto"/>
            </w:tcBorders>
            <w:vAlign w:val="center"/>
            <w:hideMark/>
          </w:tcPr>
          <w:p w:rsidR="002F6526" w:rsidRDefault="002F6526" w:rsidP="002F65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s-ES_tradnl"/>
              </w:rPr>
            </w:pPr>
            <w:r>
              <w:rPr>
                <w:lang w:val="es-ES_tradnl"/>
              </w:rPr>
              <w:t>Contiene los elementos de campo y aspecto.</w:t>
            </w:r>
          </w:p>
        </w:tc>
      </w:tr>
      <w:tr w:rsidR="002F6526" w:rsidTr="002F6526">
        <w:trPr>
          <w:trHeight w:val="113"/>
        </w:trPr>
        <w:tc>
          <w:tcPr>
            <w:tcW w:w="6690" w:type="dxa"/>
            <w:tcBorders>
              <w:top w:val="nil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Diseño de la Secuencia</w:t>
            </w:r>
          </w:p>
        </w:tc>
        <w:tc>
          <w:tcPr>
            <w:tcW w:w="6690" w:type="dxa"/>
            <w:tcBorders>
              <w:top w:val="nil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</w:tcPr>
          <w:p w:rsidR="002F6526" w:rsidRDefault="002F6526" w:rsidP="002F65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es-ES_tradnl"/>
              </w:rPr>
            </w:pPr>
            <w:r>
              <w:rPr>
                <w:lang w:val="es-ES_tradnl"/>
              </w:rPr>
              <w:t>La secuencia didáctica está estructurada de manera lógica y coherente en tres fases (apertura, desarrollo y cierre), definiendo para cada una de ellas estrategias y técnicas didácticas. Incluye una variable didáctica en el desarrollo o en el cierre. Contiene la evaluación, los recursos didácticos y el tiempo de ejecución</w:t>
            </w:r>
          </w:p>
          <w:p w:rsidR="002F6526" w:rsidRDefault="002F6526" w:rsidP="002F6526">
            <w:pPr>
              <w:widowControl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</w:p>
        </w:tc>
      </w:tr>
      <w:tr w:rsidR="002F6526" w:rsidTr="002F6526">
        <w:trPr>
          <w:trHeight w:val="113"/>
        </w:trPr>
        <w:tc>
          <w:tcPr>
            <w:tcW w:w="6690" w:type="dxa"/>
            <w:tcBorders>
              <w:top w:val="nil"/>
              <w:left w:val="single" w:sz="36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Estrategias didácticas</w:t>
            </w:r>
          </w:p>
        </w:tc>
        <w:tc>
          <w:tcPr>
            <w:tcW w:w="6690" w:type="dxa"/>
            <w:tcBorders>
              <w:top w:val="nil"/>
              <w:left w:val="single" w:sz="48" w:space="0" w:color="auto"/>
              <w:bottom w:val="single" w:sz="4" w:space="0" w:color="auto"/>
              <w:right w:val="single" w:sz="48" w:space="0" w:color="auto"/>
            </w:tcBorders>
            <w:vAlign w:val="center"/>
            <w:hideMark/>
          </w:tcPr>
          <w:p w:rsidR="002F6526" w:rsidRDefault="002F6526" w:rsidP="002F652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eastAsia="Times New Roman" w:hAnsi="Times" w:cs="Times"/>
                <w:sz w:val="24"/>
                <w:szCs w:val="24"/>
                <w:lang w:val="es-ES_tradnl"/>
              </w:rPr>
            </w:pPr>
            <w:r>
              <w:rPr>
                <w:lang w:val="es-ES_tradnl"/>
              </w:rPr>
              <w:t>Clasifica las estrategias didácticas según el tipo de proceso cognitivo y el propósito de aprendizaje que se desean alcanzar</w:t>
            </w:r>
          </w:p>
        </w:tc>
      </w:tr>
    </w:tbl>
    <w:p w:rsidR="002F6526" w:rsidRDefault="002F6526" w:rsidP="002F6526">
      <w:pPr>
        <w:rPr>
          <w:rFonts w:ascii="Arial Black" w:eastAsia="Times New Roman" w:hAnsi="Arial Black" w:cs="Arial"/>
          <w:b/>
          <w:i/>
        </w:rPr>
      </w:pPr>
    </w:p>
    <w:p w:rsidR="002F6526" w:rsidRDefault="002F6526" w:rsidP="002F6526">
      <w:pPr>
        <w:rPr>
          <w:b/>
        </w:rPr>
      </w:pPr>
    </w:p>
    <w:p w:rsidR="00FE7959" w:rsidRDefault="00FE7959"/>
    <w:sectPr w:rsidR="00FE7959" w:rsidSect="002F6526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26"/>
    <w:rsid w:val="002F6526"/>
    <w:rsid w:val="00AF66D8"/>
    <w:rsid w:val="00C66385"/>
    <w:rsid w:val="00ED4F61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A90F"/>
  <w15:docId w15:val="{98579BE2-4D81-4271-B700-110BA1CC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26"/>
    <w:pPr>
      <w:spacing w:after="160"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CYV</cp:lastModifiedBy>
  <cp:revision>2</cp:revision>
  <dcterms:created xsi:type="dcterms:W3CDTF">2019-05-16T15:32:00Z</dcterms:created>
  <dcterms:modified xsi:type="dcterms:W3CDTF">2019-05-16T15:32:00Z</dcterms:modified>
</cp:coreProperties>
</file>