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46" w:rsidRPr="00F844DA" w:rsidRDefault="00121961" w:rsidP="00121961">
      <w:pPr>
        <w:jc w:val="center"/>
        <w:rPr>
          <w:rFonts w:ascii="Arial" w:hAnsi="Arial" w:cs="Arial"/>
          <w:sz w:val="28"/>
        </w:rPr>
      </w:pPr>
      <w:r w:rsidRPr="00F844DA">
        <w:rPr>
          <w:rFonts w:ascii="Arial" w:hAnsi="Arial" w:cs="Arial"/>
          <w:sz w:val="28"/>
        </w:rPr>
        <w:t>Estado de Coahuila de Zaragoza</w:t>
      </w:r>
    </w:p>
    <w:p w:rsidR="00121961" w:rsidRPr="00F844DA" w:rsidRDefault="00121961" w:rsidP="00121961">
      <w:pPr>
        <w:jc w:val="center"/>
        <w:rPr>
          <w:rFonts w:ascii="Arial" w:hAnsi="Arial" w:cs="Arial"/>
          <w:sz w:val="28"/>
        </w:rPr>
      </w:pPr>
      <w:r w:rsidRPr="00F844DA">
        <w:rPr>
          <w:rFonts w:ascii="Arial" w:hAnsi="Arial" w:cs="Arial"/>
          <w:sz w:val="28"/>
        </w:rPr>
        <w:t>Escuela Normal de Educación Preescolar</w:t>
      </w:r>
    </w:p>
    <w:p w:rsidR="00121961" w:rsidRPr="00F844DA" w:rsidRDefault="0001534A" w:rsidP="0001534A">
      <w:pPr>
        <w:jc w:val="center"/>
        <w:rPr>
          <w:rFonts w:ascii="Arial" w:hAnsi="Arial" w:cs="Arial"/>
          <w:sz w:val="28"/>
        </w:rPr>
      </w:pPr>
      <w:r w:rsidRPr="00F844DA">
        <w:rPr>
          <w:rFonts w:ascii="Arial" w:hAnsi="Arial" w:cs="Arial"/>
          <w:sz w:val="28"/>
        </w:rPr>
        <w:t>Licenciatura en Ed</w:t>
      </w:r>
      <w:r w:rsidR="00121961" w:rsidRPr="00F844DA">
        <w:rPr>
          <w:rFonts w:ascii="Arial" w:hAnsi="Arial" w:cs="Arial"/>
          <w:sz w:val="28"/>
        </w:rPr>
        <w:t>ucación Preescolar</w:t>
      </w:r>
    </w:p>
    <w:p w:rsidR="0001534A" w:rsidRPr="00F844DA" w:rsidRDefault="0001534A" w:rsidP="0001534A">
      <w:pPr>
        <w:jc w:val="center"/>
        <w:rPr>
          <w:rFonts w:ascii="Arial" w:hAnsi="Arial" w:cs="Arial"/>
          <w:sz w:val="28"/>
        </w:rPr>
      </w:pPr>
      <w:r w:rsidRPr="00F844DA">
        <w:rPr>
          <w:rFonts w:ascii="Arial" w:hAnsi="Arial" w:cs="Arial"/>
          <w:noProof/>
          <w:sz w:val="28"/>
          <w:lang w:eastAsia="es-MX"/>
        </w:rPr>
        <w:drawing>
          <wp:inline distT="0" distB="0" distL="0" distR="0" wp14:anchorId="4BD56E00" wp14:editId="55E9D8FB">
            <wp:extent cx="2341794" cy="1741335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671" cy="17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34A" w:rsidRPr="00F844DA" w:rsidRDefault="0001534A" w:rsidP="0001534A">
      <w:pPr>
        <w:jc w:val="center"/>
        <w:rPr>
          <w:rFonts w:ascii="Cambria" w:hAnsi="Cambria" w:cs="Arial"/>
          <w:sz w:val="32"/>
        </w:rPr>
      </w:pPr>
      <w:r w:rsidRPr="00F844DA">
        <w:rPr>
          <w:rFonts w:ascii="Cambria" w:hAnsi="Cambria" w:cs="Arial"/>
          <w:sz w:val="32"/>
        </w:rPr>
        <w:t xml:space="preserve">Evidencia </w:t>
      </w:r>
      <w:r w:rsidR="000915CD">
        <w:rPr>
          <w:rFonts w:ascii="Cambria" w:hAnsi="Cambria" w:cs="Arial"/>
          <w:sz w:val="32"/>
        </w:rPr>
        <w:t xml:space="preserve">Unidad </w:t>
      </w:r>
      <w:r w:rsidRPr="00F844DA">
        <w:rPr>
          <w:rFonts w:ascii="Cambria" w:hAnsi="Cambria" w:cs="Arial"/>
          <w:sz w:val="32"/>
        </w:rPr>
        <w:t>1</w:t>
      </w:r>
    </w:p>
    <w:p w:rsidR="0001534A" w:rsidRPr="00F844DA" w:rsidRDefault="0001534A" w:rsidP="0001534A">
      <w:pPr>
        <w:jc w:val="center"/>
        <w:rPr>
          <w:rFonts w:ascii="Cambria" w:hAnsi="Cambria" w:cs="Arial"/>
          <w:sz w:val="28"/>
        </w:rPr>
      </w:pPr>
      <w:r w:rsidRPr="00F844DA">
        <w:rPr>
          <w:rFonts w:ascii="Cambria" w:hAnsi="Cambria" w:cs="Arial"/>
          <w:sz w:val="28"/>
        </w:rPr>
        <w:t xml:space="preserve">Materia: </w:t>
      </w:r>
      <w:r w:rsidRPr="00F844DA">
        <w:rPr>
          <w:rFonts w:ascii="Cambria" w:eastAsia="Times New Roman" w:hAnsi="Cambria" w:cs="Arial"/>
          <w:bCs/>
          <w:iCs/>
          <w:color w:val="000000"/>
          <w:sz w:val="28"/>
          <w:szCs w:val="32"/>
          <w:lang w:eastAsia="es-MX"/>
        </w:rPr>
        <w:t>Interculturalidad Crítica Y Atención De La Diversidad</w:t>
      </w:r>
    </w:p>
    <w:p w:rsidR="0001534A" w:rsidRPr="00F844DA" w:rsidRDefault="0001534A" w:rsidP="0001534A">
      <w:pPr>
        <w:jc w:val="center"/>
        <w:rPr>
          <w:rFonts w:ascii="Cambria" w:hAnsi="Cambria" w:cs="Arial"/>
          <w:sz w:val="28"/>
        </w:rPr>
      </w:pPr>
      <w:r w:rsidRPr="00F844DA">
        <w:rPr>
          <w:rFonts w:ascii="Cambria" w:hAnsi="Cambria" w:cs="Arial"/>
          <w:sz w:val="28"/>
        </w:rPr>
        <w:t xml:space="preserve">Maestro: Graciano Montoya Hoyos </w:t>
      </w:r>
    </w:p>
    <w:p w:rsidR="00F844DA" w:rsidRPr="00F844DA" w:rsidRDefault="0001534A" w:rsidP="00F844DA">
      <w:pPr>
        <w:jc w:val="center"/>
        <w:rPr>
          <w:rFonts w:ascii="Cambria" w:hAnsi="Cambria" w:cs="Arial"/>
          <w:sz w:val="28"/>
        </w:rPr>
      </w:pPr>
      <w:r w:rsidRPr="00F844DA">
        <w:rPr>
          <w:rFonts w:ascii="Cambria" w:hAnsi="Cambria" w:cs="Arial"/>
          <w:sz w:val="28"/>
        </w:rPr>
        <w:t>Alumna: Fernanda Yamilet  Ramos Esquivel</w:t>
      </w:r>
      <w:r w:rsidR="00F844DA" w:rsidRPr="00F844DA">
        <w:rPr>
          <w:rFonts w:ascii="Cambria" w:hAnsi="Cambria" w:cs="Arial"/>
          <w:sz w:val="28"/>
        </w:rPr>
        <w:t xml:space="preserve"> </w:t>
      </w:r>
    </w:p>
    <w:p w:rsidR="00F844DA" w:rsidRPr="00F844DA" w:rsidRDefault="00F844DA" w:rsidP="00F844DA">
      <w:pPr>
        <w:jc w:val="center"/>
        <w:rPr>
          <w:rFonts w:ascii="Cambria" w:hAnsi="Cambria" w:cs="Arial"/>
          <w:sz w:val="28"/>
        </w:rPr>
      </w:pPr>
      <w:r w:rsidRPr="00F844DA">
        <w:rPr>
          <w:rFonts w:ascii="Cambria" w:hAnsi="Cambria" w:cs="Arial"/>
          <w:sz w:val="28"/>
        </w:rPr>
        <w:t xml:space="preserve">Ciclo escolar 2023 – 2024 </w:t>
      </w:r>
    </w:p>
    <w:p w:rsidR="00F844DA" w:rsidRPr="00F844DA" w:rsidRDefault="00F844DA" w:rsidP="000915CD">
      <w:pPr>
        <w:jc w:val="center"/>
        <w:rPr>
          <w:rFonts w:ascii="Cambria" w:hAnsi="Cambria" w:cs="Arial"/>
          <w:sz w:val="28"/>
        </w:rPr>
      </w:pPr>
      <w:r w:rsidRPr="00F844DA">
        <w:rPr>
          <w:rFonts w:ascii="Cambria" w:hAnsi="Cambria" w:cs="Arial"/>
          <w:sz w:val="28"/>
        </w:rPr>
        <w:t>Dominios y Desempeños</w:t>
      </w:r>
      <w:r w:rsidR="000915CD">
        <w:rPr>
          <w:rFonts w:ascii="Cambria" w:hAnsi="Cambria" w:cs="Arial"/>
          <w:sz w:val="28"/>
        </w:rPr>
        <w:t xml:space="preserve"> del Curso</w:t>
      </w:r>
      <w:r w:rsidRPr="00F844DA">
        <w:rPr>
          <w:rFonts w:ascii="Cambria" w:hAnsi="Cambria" w:cs="Arial"/>
          <w:sz w:val="28"/>
        </w:rPr>
        <w:t xml:space="preserve">: </w:t>
      </w:r>
      <w:bookmarkStart w:id="0" w:name="_GoBack"/>
      <w:bookmarkEnd w:id="0"/>
      <w:r w:rsidRPr="00F844DA">
        <w:rPr>
          <w:rFonts w:ascii="Cambria" w:hAnsi="Cambria" w:cs="Arial"/>
          <w:sz w:val="28"/>
        </w:rPr>
        <w:t>Tiene pensamiento reflexivo, crítico, creativo, sistémico y actúa con valores y principios que hacen al bien común promoviendo en sus relaciones la equidad de género, relaciones interculturales de diálogo y simetría, una vida saludable, la conciencia de cuidado activo de la naturaleza y el medio ambiente, el respeto a los derechos humanos, y la erradicación de toda forma de violencia como parte de la identidad docente.</w:t>
      </w:r>
    </w:p>
    <w:p w:rsidR="00F844DA" w:rsidRPr="00F844DA" w:rsidRDefault="0001534A" w:rsidP="00F844DA">
      <w:pPr>
        <w:jc w:val="center"/>
        <w:rPr>
          <w:rFonts w:ascii="Cambria" w:hAnsi="Cambria" w:cs="Arial"/>
          <w:sz w:val="28"/>
        </w:rPr>
      </w:pPr>
      <w:r w:rsidRPr="00F844DA">
        <w:rPr>
          <w:rFonts w:ascii="Cambria" w:hAnsi="Cambria" w:cs="Arial"/>
          <w:sz w:val="28"/>
        </w:rPr>
        <w:tab/>
      </w:r>
      <w:r w:rsidRPr="00F844DA">
        <w:rPr>
          <w:rFonts w:ascii="Cambria" w:hAnsi="Cambria" w:cs="Arial"/>
          <w:sz w:val="28"/>
        </w:rPr>
        <w:tab/>
      </w:r>
    </w:p>
    <w:p w:rsidR="0001534A" w:rsidRPr="00F844DA" w:rsidRDefault="00F844DA" w:rsidP="00F844DA">
      <w:pPr>
        <w:rPr>
          <w:rFonts w:ascii="Cambria" w:hAnsi="Cambria" w:cs="Arial"/>
          <w:sz w:val="28"/>
        </w:rPr>
      </w:pPr>
      <w:r>
        <w:rPr>
          <w:rFonts w:ascii="Cambria" w:hAnsi="Cambria" w:cs="Arial"/>
          <w:sz w:val="28"/>
        </w:rPr>
        <w:t xml:space="preserve">                </w:t>
      </w:r>
      <w:r w:rsidRPr="00F844DA">
        <w:rPr>
          <w:rFonts w:ascii="Cambria" w:hAnsi="Cambria" w:cs="Arial"/>
          <w:sz w:val="28"/>
        </w:rPr>
        <w:t xml:space="preserve">Coahuila de Zaragoza                                  </w:t>
      </w:r>
      <w:r>
        <w:rPr>
          <w:rFonts w:ascii="Cambria" w:hAnsi="Cambria" w:cs="Arial"/>
          <w:sz w:val="28"/>
        </w:rPr>
        <w:t xml:space="preserve">     </w:t>
      </w:r>
      <w:r w:rsidRPr="00F844DA">
        <w:rPr>
          <w:rFonts w:ascii="Cambria" w:hAnsi="Cambria" w:cs="Arial"/>
          <w:sz w:val="28"/>
        </w:rPr>
        <w:t xml:space="preserve">       Marzo 2024 </w:t>
      </w:r>
    </w:p>
    <w:p w:rsidR="0001534A" w:rsidRPr="0001534A" w:rsidRDefault="0001534A" w:rsidP="0001534A">
      <w:pPr>
        <w:jc w:val="center"/>
        <w:rPr>
          <w:rFonts w:ascii="Arial" w:hAnsi="Arial" w:cs="Arial"/>
          <w:sz w:val="32"/>
        </w:rPr>
      </w:pPr>
    </w:p>
    <w:p w:rsidR="0001534A" w:rsidRDefault="0001534A" w:rsidP="0001534A">
      <w:pPr>
        <w:jc w:val="center"/>
      </w:pPr>
    </w:p>
    <w:p w:rsidR="0001534A" w:rsidRDefault="0001534A" w:rsidP="0001534A">
      <w:pPr>
        <w:jc w:val="center"/>
      </w:pPr>
    </w:p>
    <w:p w:rsidR="0001534A" w:rsidRDefault="0001534A" w:rsidP="00F844DA">
      <w:pPr>
        <w:rPr>
          <w:rFonts w:ascii="Arial" w:hAnsi="Arial" w:cs="Arial"/>
          <w:sz w:val="40"/>
        </w:rPr>
      </w:pPr>
    </w:p>
    <w:p w:rsidR="0001534A" w:rsidRPr="000915CD" w:rsidRDefault="0001534A" w:rsidP="000915CD">
      <w:pPr>
        <w:pStyle w:val="Ttulo1"/>
        <w:jc w:val="center"/>
        <w:rPr>
          <w:rFonts w:ascii="Cambria" w:hAnsi="Cambria"/>
          <w:sz w:val="40"/>
        </w:rPr>
      </w:pPr>
      <w:bookmarkStart w:id="1" w:name="_Toc160742525"/>
      <w:r w:rsidRPr="000915CD">
        <w:rPr>
          <w:rFonts w:ascii="Cambria" w:hAnsi="Cambria"/>
        </w:rPr>
        <w:lastRenderedPageBreak/>
        <w:t>Índice</w:t>
      </w:r>
      <w:bookmarkEnd w:id="1"/>
    </w:p>
    <w:p w:rsidR="000915CD" w:rsidRDefault="000915CD" w:rsidP="000915CD"/>
    <w:p w:rsidR="000915CD" w:rsidRPr="000915CD" w:rsidRDefault="000915CD" w:rsidP="000915CD"/>
    <w:sdt>
      <w:sdtPr>
        <w:rPr>
          <w:lang w:val="es-ES"/>
        </w:rPr>
        <w:id w:val="-200766485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042AD5" w:rsidRDefault="00042AD5">
          <w:pPr>
            <w:pStyle w:val="TtulodeTDC"/>
            <w:rPr>
              <w:lang w:val="es-ES"/>
            </w:rPr>
          </w:pPr>
          <w:r>
            <w:rPr>
              <w:lang w:val="es-ES"/>
            </w:rPr>
            <w:t>Contenido</w:t>
          </w:r>
        </w:p>
        <w:p w:rsidR="000915CD" w:rsidRPr="000915CD" w:rsidRDefault="000915CD" w:rsidP="000915CD">
          <w:pPr>
            <w:rPr>
              <w:lang w:val="es-ES" w:eastAsia="es-MX"/>
            </w:rPr>
          </w:pPr>
        </w:p>
        <w:p w:rsidR="000915CD" w:rsidRDefault="00042AD5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0742525" w:history="1">
            <w:r w:rsidR="000915CD" w:rsidRPr="00736697">
              <w:rPr>
                <w:rStyle w:val="Hipervnculo"/>
                <w:noProof/>
              </w:rPr>
              <w:t>Índice</w:t>
            </w:r>
            <w:r w:rsidR="000915CD">
              <w:rPr>
                <w:noProof/>
                <w:webHidden/>
              </w:rPr>
              <w:tab/>
            </w:r>
            <w:r w:rsidR="000915CD">
              <w:rPr>
                <w:noProof/>
                <w:webHidden/>
              </w:rPr>
              <w:fldChar w:fldCharType="begin"/>
            </w:r>
            <w:r w:rsidR="000915CD">
              <w:rPr>
                <w:noProof/>
                <w:webHidden/>
              </w:rPr>
              <w:instrText xml:space="preserve"> PAGEREF _Toc160742525 \h </w:instrText>
            </w:r>
            <w:r w:rsidR="000915CD">
              <w:rPr>
                <w:noProof/>
                <w:webHidden/>
              </w:rPr>
            </w:r>
            <w:r w:rsidR="000915CD">
              <w:rPr>
                <w:noProof/>
                <w:webHidden/>
              </w:rPr>
              <w:fldChar w:fldCharType="separate"/>
            </w:r>
            <w:r w:rsidR="000915CD">
              <w:rPr>
                <w:noProof/>
                <w:webHidden/>
              </w:rPr>
              <w:t>2</w:t>
            </w:r>
            <w:r w:rsidR="000915CD">
              <w:rPr>
                <w:noProof/>
                <w:webHidden/>
              </w:rPr>
              <w:fldChar w:fldCharType="end"/>
            </w:r>
          </w:hyperlink>
        </w:p>
        <w:p w:rsidR="000915CD" w:rsidRDefault="000915C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60742526" w:history="1">
            <w:r w:rsidRPr="00736697">
              <w:rPr>
                <w:rStyle w:val="Hipervnculo"/>
                <w:rFonts w:ascii="Cambria" w:hAnsi="Cambria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_Toc160742526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CD" w:rsidRDefault="000915C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60742527" w:history="1">
            <w:r w:rsidRPr="00736697">
              <w:rPr>
                <w:rStyle w:val="Hipervnculo"/>
                <w:rFonts w:ascii="Cambria" w:hAnsi="Cambria"/>
                <w:noProof/>
              </w:rPr>
              <w:t>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_Toc160742527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CD" w:rsidRDefault="000915C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60742528" w:history="1">
            <w:r w:rsidRPr="00736697">
              <w:rPr>
                <w:rStyle w:val="Hipervnculo"/>
                <w:rFonts w:ascii="Cambria" w:hAnsi="Cambria"/>
                <w:noProof/>
              </w:rPr>
              <w:t>Inclusión y exclusión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_Toc160742528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CD" w:rsidRDefault="000915C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60742529" w:history="1">
            <w:r w:rsidRPr="00736697">
              <w:rPr>
                <w:rStyle w:val="Hipervnculo"/>
                <w:rFonts w:ascii="Cambria" w:hAnsi="Cambria"/>
                <w:noProof/>
              </w:rPr>
              <w:t>Contextos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_Toc160742529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CD" w:rsidRDefault="000915C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60742530" w:history="1">
            <w:r w:rsidRPr="00736697">
              <w:rPr>
                <w:rStyle w:val="Hipervnculo"/>
                <w:rFonts w:ascii="Cambria" w:hAnsi="Cambria"/>
                <w:noProof/>
              </w:rPr>
              <w:t>Intervención docente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_Toc160742530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CD" w:rsidRDefault="000915C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60742531" w:history="1">
            <w:r w:rsidRPr="00736697">
              <w:rPr>
                <w:rStyle w:val="Hipervnculo"/>
                <w:rFonts w:ascii="Cambria" w:hAnsi="Cambria"/>
                <w:noProof/>
                <w:shd w:val="clear" w:color="auto" w:fill="FFFFFF"/>
              </w:rPr>
              <w:t>Asimetrías en Preescolar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_Toc160742531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CD" w:rsidRDefault="000915C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60742532" w:history="1">
            <w:r w:rsidRPr="00736697">
              <w:rPr>
                <w:rStyle w:val="Hipervnculo"/>
                <w:rFonts w:ascii="Cambria" w:hAnsi="Cambria"/>
                <w:noProof/>
              </w:rPr>
              <w:t>Conclusión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_Toc160742532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915CD" w:rsidRDefault="000915CD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MX"/>
            </w:rPr>
          </w:pPr>
          <w:hyperlink w:anchor="_Toc160742533" w:history="1">
            <w:r w:rsidRPr="00736697">
              <w:rPr>
                <w:rStyle w:val="Hipervnculo"/>
                <w:rFonts w:ascii="Cambria" w:hAnsi="Cambria"/>
                <w:noProof/>
              </w:rPr>
              <w:t>Bibliografías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_Toc160742533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2AD5" w:rsidRDefault="00042AD5">
          <w:r>
            <w:rPr>
              <w:b/>
              <w:bCs/>
              <w:lang w:val="es-ES"/>
            </w:rPr>
            <w:fldChar w:fldCharType="end"/>
          </w:r>
        </w:p>
      </w:sdtContent>
    </w:sdt>
    <w:p w:rsidR="00F844DA" w:rsidRPr="00F844DA" w:rsidRDefault="00F844DA" w:rsidP="0001534A">
      <w:pPr>
        <w:jc w:val="center"/>
        <w:rPr>
          <w:rFonts w:ascii="Cambria" w:hAnsi="Cambria" w:cs="Arial"/>
          <w:sz w:val="40"/>
        </w:rPr>
      </w:pPr>
    </w:p>
    <w:p w:rsidR="0001534A" w:rsidRPr="0001534A" w:rsidRDefault="0001534A" w:rsidP="0001534A">
      <w:pPr>
        <w:jc w:val="center"/>
        <w:rPr>
          <w:rFonts w:ascii="Arial" w:hAnsi="Arial" w:cs="Arial"/>
          <w:sz w:val="40"/>
        </w:rPr>
      </w:pPr>
    </w:p>
    <w:p w:rsidR="0001534A" w:rsidRDefault="0001534A" w:rsidP="0001534A">
      <w:pPr>
        <w:jc w:val="center"/>
      </w:pPr>
    </w:p>
    <w:p w:rsidR="0001534A" w:rsidRDefault="0001534A" w:rsidP="0001534A">
      <w:pPr>
        <w:jc w:val="center"/>
      </w:pPr>
    </w:p>
    <w:p w:rsidR="00F844DA" w:rsidRDefault="00F844DA" w:rsidP="0001534A">
      <w:pPr>
        <w:jc w:val="center"/>
      </w:pPr>
    </w:p>
    <w:p w:rsidR="00F844DA" w:rsidRDefault="00F844DA" w:rsidP="0001534A">
      <w:pPr>
        <w:jc w:val="center"/>
      </w:pPr>
    </w:p>
    <w:p w:rsidR="00F844DA" w:rsidRDefault="00F844DA" w:rsidP="0001534A">
      <w:pPr>
        <w:jc w:val="center"/>
      </w:pPr>
    </w:p>
    <w:p w:rsidR="00F844DA" w:rsidRDefault="00F844DA" w:rsidP="0001534A">
      <w:pPr>
        <w:jc w:val="center"/>
      </w:pPr>
    </w:p>
    <w:p w:rsidR="00F844DA" w:rsidRDefault="00F844DA" w:rsidP="0001534A">
      <w:pPr>
        <w:jc w:val="center"/>
      </w:pPr>
    </w:p>
    <w:p w:rsidR="00F844DA" w:rsidRDefault="00F844DA" w:rsidP="0001534A">
      <w:pPr>
        <w:jc w:val="center"/>
      </w:pPr>
    </w:p>
    <w:p w:rsidR="00F844DA" w:rsidRDefault="00F844DA" w:rsidP="0001534A">
      <w:pPr>
        <w:jc w:val="center"/>
      </w:pPr>
    </w:p>
    <w:p w:rsidR="00F844DA" w:rsidRDefault="00F844DA" w:rsidP="0001534A">
      <w:pPr>
        <w:jc w:val="center"/>
      </w:pPr>
    </w:p>
    <w:p w:rsidR="00F844DA" w:rsidRDefault="00F844DA" w:rsidP="0001534A">
      <w:pPr>
        <w:jc w:val="center"/>
      </w:pPr>
    </w:p>
    <w:p w:rsidR="00F844DA" w:rsidRDefault="00F844DA" w:rsidP="000915CD"/>
    <w:p w:rsidR="00F844DA" w:rsidRDefault="00F844DA" w:rsidP="000915CD">
      <w:pPr>
        <w:pStyle w:val="Ttulo1"/>
        <w:jc w:val="center"/>
        <w:rPr>
          <w:rFonts w:ascii="Cambria" w:hAnsi="Cambria"/>
        </w:rPr>
      </w:pPr>
      <w:bookmarkStart w:id="2" w:name="_Toc160742526"/>
      <w:r w:rsidRPr="00033EF9">
        <w:rPr>
          <w:rFonts w:ascii="Cambria" w:hAnsi="Cambria"/>
        </w:rPr>
        <w:lastRenderedPageBreak/>
        <w:t>Introducción</w:t>
      </w:r>
      <w:bookmarkEnd w:id="2"/>
    </w:p>
    <w:p w:rsidR="000915CD" w:rsidRPr="000915CD" w:rsidRDefault="000915CD" w:rsidP="000915CD"/>
    <w:p w:rsidR="00CC0DD4" w:rsidRDefault="00042AD5" w:rsidP="00F844DA">
      <w:pPr>
        <w:rPr>
          <w:rFonts w:ascii="Cambria" w:hAnsi="Cambria"/>
        </w:rPr>
      </w:pPr>
      <w:r w:rsidRPr="006B4E56">
        <w:rPr>
          <w:rFonts w:ascii="Cambria" w:hAnsi="Cambria"/>
        </w:rPr>
        <w:t xml:space="preserve">Este trabajo esta </w:t>
      </w:r>
      <w:r w:rsidR="006B4E56" w:rsidRPr="006B4E56">
        <w:rPr>
          <w:rFonts w:ascii="Cambria" w:hAnsi="Cambria"/>
        </w:rPr>
        <w:t>se enfoca en la i</w:t>
      </w:r>
      <w:r w:rsidR="006B4E56" w:rsidRPr="006B4E56">
        <w:rPr>
          <w:rFonts w:ascii="Cambria" w:hAnsi="Cambria" w:cs="Segoe UI"/>
          <w:color w:val="0D0D0D"/>
          <w:shd w:val="clear" w:color="auto" w:fill="FFFFFF"/>
        </w:rPr>
        <w:t xml:space="preserve">ntervención en atención a la diversidad en el ámbito educativo </w:t>
      </w:r>
      <w:r w:rsidR="006B4E56" w:rsidRPr="006B4E56">
        <w:rPr>
          <w:rFonts w:ascii="Cambria" w:hAnsi="Cambria" w:cs="Segoe UI"/>
          <w:color w:val="0D0D0D"/>
          <w:shd w:val="clear" w:color="auto" w:fill="FFFFFF"/>
        </w:rPr>
        <w:t>el cual La intervención para diferenciar la diversidad en la educación representa un deber ético y pedagógico para garantizar que todos los estudiantes, con sus diferentes características, encuentren un espacio inclusivo e igualitario para desarrollar su potencial esta propuesta se sustenta en na fundamentación teórica que aborda diversas dimensiones, desde la pedagogía inclusiva hasta perspectivas críticas de la interculturalidad, la interseccionalidad y la consideración de los contextos sociales, económicos y políticos.</w:t>
      </w:r>
      <w:r w:rsidR="006B4E56" w:rsidRPr="006B4E56">
        <w:rPr>
          <w:rFonts w:ascii="Cambria" w:hAnsi="Cambria" w:cs="Segoe UI"/>
          <w:color w:val="0D0D0D"/>
          <w:shd w:val="clear" w:color="auto" w:fill="FFFFFF"/>
        </w:rPr>
        <w:cr/>
        <w:t xml:space="preserve">Lo cual es la que </w:t>
      </w:r>
      <w:r w:rsidR="00033EF9" w:rsidRPr="006B4E56">
        <w:rPr>
          <w:rFonts w:ascii="Cambria" w:hAnsi="Cambria"/>
        </w:rPr>
        <w:t xml:space="preserve"> busca desafiar y superar las estructuras de poder y conocimiento históricamente impuestas, </w:t>
      </w:r>
      <w:r w:rsidR="006B4E56" w:rsidRPr="006B4E56">
        <w:rPr>
          <w:rFonts w:ascii="Cambria" w:hAnsi="Cambria"/>
        </w:rPr>
        <w:t xml:space="preserve">combinando diferentes marcos teóricos </w:t>
      </w:r>
      <w:r w:rsidRPr="006B4E56">
        <w:rPr>
          <w:rFonts w:ascii="Cambria" w:hAnsi="Cambria"/>
        </w:rPr>
        <w:t xml:space="preserve">lo cual </w:t>
      </w:r>
      <w:r w:rsidR="00033EF9" w:rsidRPr="006B4E56">
        <w:rPr>
          <w:rFonts w:ascii="Cambria" w:hAnsi="Cambria"/>
        </w:rPr>
        <w:t>es un elemen</w:t>
      </w:r>
      <w:r w:rsidRPr="006B4E56">
        <w:rPr>
          <w:rFonts w:ascii="Cambria" w:hAnsi="Cambria"/>
        </w:rPr>
        <w:t>to importante porque reconoce</w:t>
      </w:r>
      <w:r w:rsidR="00033EF9" w:rsidRPr="006B4E56">
        <w:rPr>
          <w:rFonts w:ascii="Cambria" w:hAnsi="Cambria"/>
        </w:rPr>
        <w:t xml:space="preserve"> la compleja interacción de múltiples identidades y experiencias que influyen en la experiencia de la diversidad en los entornos educativos.</w:t>
      </w:r>
      <w:r w:rsidR="006B4E56" w:rsidRPr="006B4E56">
        <w:rPr>
          <w:rFonts w:ascii="Cambria" w:hAnsi="Cambria"/>
        </w:rPr>
        <w:t xml:space="preserve"> Tomando en cuenta </w:t>
      </w:r>
      <w:r w:rsidRPr="006B4E56">
        <w:rPr>
          <w:rFonts w:ascii="Cambria" w:hAnsi="Cambria"/>
        </w:rPr>
        <w:t>estas intera</w:t>
      </w:r>
      <w:r w:rsidR="00033EF9" w:rsidRPr="006B4E56">
        <w:rPr>
          <w:rFonts w:ascii="Cambria" w:hAnsi="Cambria"/>
        </w:rPr>
        <w:t xml:space="preserve">cciones, </w:t>
      </w:r>
      <w:r w:rsidR="006B4E56" w:rsidRPr="006B4E56">
        <w:rPr>
          <w:rFonts w:ascii="Cambria" w:hAnsi="Cambria"/>
        </w:rPr>
        <w:t>la</w:t>
      </w:r>
      <w:r w:rsidR="00033EF9" w:rsidRPr="006B4E56">
        <w:rPr>
          <w:rFonts w:ascii="Cambria" w:hAnsi="Cambria"/>
        </w:rPr>
        <w:t xml:space="preserve"> </w:t>
      </w:r>
      <w:r w:rsidRPr="006B4E56">
        <w:rPr>
          <w:rFonts w:ascii="Cambria" w:hAnsi="Cambria"/>
        </w:rPr>
        <w:t xml:space="preserve">principal </w:t>
      </w:r>
      <w:r w:rsidR="00033EF9" w:rsidRPr="006B4E56">
        <w:rPr>
          <w:rFonts w:ascii="Cambria" w:hAnsi="Cambria"/>
        </w:rPr>
        <w:t xml:space="preserve">propuesta </w:t>
      </w:r>
      <w:r w:rsidRPr="006B4E56">
        <w:rPr>
          <w:rFonts w:ascii="Cambria" w:hAnsi="Cambria"/>
        </w:rPr>
        <w:t xml:space="preserve">debe </w:t>
      </w:r>
      <w:r w:rsidR="00033EF9" w:rsidRPr="006B4E56">
        <w:rPr>
          <w:rFonts w:ascii="Cambria" w:hAnsi="Cambria"/>
        </w:rPr>
        <w:t>apunta</w:t>
      </w:r>
      <w:r w:rsidRPr="006B4E56">
        <w:rPr>
          <w:rFonts w:ascii="Cambria" w:hAnsi="Cambria"/>
        </w:rPr>
        <w:t xml:space="preserve">r </w:t>
      </w:r>
      <w:r w:rsidR="00033EF9" w:rsidRPr="006B4E56">
        <w:rPr>
          <w:rFonts w:ascii="Cambria" w:hAnsi="Cambria"/>
        </w:rPr>
        <w:t xml:space="preserve"> </w:t>
      </w:r>
      <w:r w:rsidRPr="006B4E56">
        <w:rPr>
          <w:rFonts w:ascii="Cambria" w:hAnsi="Cambria"/>
        </w:rPr>
        <w:t>par</w:t>
      </w:r>
      <w:r w:rsidR="00033EF9" w:rsidRPr="006B4E56">
        <w:rPr>
          <w:rFonts w:ascii="Cambria" w:hAnsi="Cambria"/>
        </w:rPr>
        <w:t>a brindar atención inclusiva que reconozca y respete la diversidad de identidades presentes en los ento</w:t>
      </w:r>
      <w:r w:rsidR="006B4E56" w:rsidRPr="006B4E56">
        <w:rPr>
          <w:rFonts w:ascii="Cambria" w:hAnsi="Cambria"/>
        </w:rPr>
        <w:t>rnos de cuidado infantil. Este</w:t>
      </w:r>
      <w:r w:rsidR="00033EF9" w:rsidRPr="006B4E56">
        <w:rPr>
          <w:rFonts w:ascii="Cambria" w:hAnsi="Cambria"/>
        </w:rPr>
        <w:t xml:space="preserve"> busca </w:t>
      </w:r>
      <w:r w:rsidR="006B4E56" w:rsidRPr="006B4E56">
        <w:rPr>
          <w:rFonts w:ascii="Cambria" w:hAnsi="Cambria"/>
        </w:rPr>
        <w:t>verificar</w:t>
      </w:r>
      <w:r w:rsidR="00033EF9" w:rsidRPr="006B4E56">
        <w:rPr>
          <w:rFonts w:ascii="Cambria" w:hAnsi="Cambria"/>
        </w:rPr>
        <w:t xml:space="preserve"> las prácticas de inclusión y exclusión, así como las relaciones de poder, </w:t>
      </w:r>
      <w:r w:rsidR="006B4E56" w:rsidRPr="006B4E56">
        <w:rPr>
          <w:rFonts w:ascii="Cambria" w:hAnsi="Cambria"/>
        </w:rPr>
        <w:t>las cuales  influyen</w:t>
      </w:r>
      <w:r w:rsidR="00033EF9" w:rsidRPr="006B4E56">
        <w:rPr>
          <w:rFonts w:ascii="Cambria" w:hAnsi="Cambria"/>
        </w:rPr>
        <w:t xml:space="preserve"> en la implementación de la justicia y la formación </w:t>
      </w:r>
      <w:r w:rsidR="006B4E56" w:rsidRPr="006B4E56">
        <w:rPr>
          <w:rFonts w:ascii="Cambria" w:hAnsi="Cambria"/>
        </w:rPr>
        <w:t xml:space="preserve">de valores en el Jardín de niños. </w:t>
      </w:r>
    </w:p>
    <w:p w:rsidR="00033EF9" w:rsidRPr="00CC0DD4" w:rsidRDefault="006B4E56" w:rsidP="00F844DA">
      <w:pPr>
        <w:rPr>
          <w:rFonts w:ascii="Cambria" w:hAnsi="Cambria"/>
        </w:rPr>
      </w:pPr>
      <w:r w:rsidRPr="006B4E56">
        <w:rPr>
          <w:rFonts w:ascii="Cambria" w:hAnsi="Cambria"/>
        </w:rPr>
        <w:t>Por lo tanto, la principal</w:t>
      </w:r>
      <w:r w:rsidR="00033EF9" w:rsidRPr="006B4E56">
        <w:rPr>
          <w:rFonts w:ascii="Cambria" w:hAnsi="Cambria"/>
        </w:rPr>
        <w:t xml:space="preserve"> propuesta de atender la div</w:t>
      </w:r>
      <w:r w:rsidRPr="006B4E56">
        <w:rPr>
          <w:rFonts w:ascii="Cambria" w:hAnsi="Cambria"/>
        </w:rPr>
        <w:t>ersidad en el contexto de los infantes</w:t>
      </w:r>
      <w:r w:rsidR="00033EF9" w:rsidRPr="006B4E56">
        <w:rPr>
          <w:rFonts w:ascii="Cambria" w:hAnsi="Cambria"/>
        </w:rPr>
        <w:t xml:space="preserve"> está res</w:t>
      </w:r>
      <w:r w:rsidRPr="006B4E56">
        <w:rPr>
          <w:rFonts w:ascii="Cambria" w:hAnsi="Cambria"/>
        </w:rPr>
        <w:t xml:space="preserve">paldada por un </w:t>
      </w:r>
      <w:r w:rsidR="00033EF9" w:rsidRPr="006B4E56">
        <w:rPr>
          <w:rFonts w:ascii="Cambria" w:hAnsi="Cambria"/>
        </w:rPr>
        <w:t>marco teórico que integra la pedagogía</w:t>
      </w:r>
      <w:r w:rsidRPr="006B4E56">
        <w:rPr>
          <w:rFonts w:ascii="Cambria" w:hAnsi="Cambria"/>
        </w:rPr>
        <w:t xml:space="preserve"> decolonial con la consideramos una</w:t>
      </w:r>
      <w:r w:rsidR="00033EF9" w:rsidRPr="006B4E56">
        <w:rPr>
          <w:rFonts w:ascii="Cambria" w:hAnsi="Cambria"/>
        </w:rPr>
        <w:t xml:space="preserve"> complejidad intercultural, </w:t>
      </w:r>
      <w:r w:rsidRPr="006B4E56">
        <w:rPr>
          <w:rFonts w:ascii="Cambria" w:hAnsi="Cambria"/>
        </w:rPr>
        <w:t xml:space="preserve"> dando espacio para la </w:t>
      </w:r>
      <w:r w:rsidR="00033EF9" w:rsidRPr="006B4E56">
        <w:rPr>
          <w:rFonts w:ascii="Cambria" w:hAnsi="Cambria"/>
        </w:rPr>
        <w:t xml:space="preserve"> inclusión, la interseccionalidad </w:t>
      </w:r>
      <w:r>
        <w:rPr>
          <w:rFonts w:ascii="Cambria" w:hAnsi="Cambria"/>
        </w:rPr>
        <w:t>y otros elementos contextuale</w:t>
      </w:r>
      <w:r w:rsidR="00CC0DD4">
        <w:rPr>
          <w:rFonts w:ascii="Cambria" w:hAnsi="Cambria"/>
        </w:rPr>
        <w:t xml:space="preserve">s, lo que es más imprescindible es </w:t>
      </w:r>
      <w:r w:rsidR="00CC0DD4" w:rsidRPr="00CC0DD4">
        <w:rPr>
          <w:rFonts w:ascii="Cambria" w:hAnsi="Cambria"/>
        </w:rPr>
        <w:t xml:space="preserve">la </w:t>
      </w:r>
      <w:r w:rsidRPr="00CC0DD4">
        <w:rPr>
          <w:rFonts w:ascii="Cambria" w:hAnsi="Cambria"/>
          <w:color w:val="333333"/>
          <w:shd w:val="clear" w:color="auto" w:fill="FFFFFF"/>
        </w:rPr>
        <w:t> intervención formativa con el profesorado de Educación Secundaria Obligatoria para construir una Comunidad Profesional de Aprendizaje que capacite al centro educativo para atender, de manera más efectiva, a la diversidad del alumnado y aumentar la calidad educativa de su proceso de enseñanza-aprendizaje. Para ello se ha elaborado un marco teórico sobre la equidad en el Sistema Educativo y los retos a los que éste se enfrenta hoy en día, la figura del orientador educativo como agente de cambio, promotor de la innovación en el centro, colaborando estrechamente con el equipo directivo y las evidencias de las Comunidades Profesionales de Aprendizaje como medios efectivos para lograr la plena inclusión educativa y la capacitación del profesorado mediante su desarrollo profesional conjunto</w:t>
      </w:r>
      <w:r w:rsidR="00CC0DD4">
        <w:rPr>
          <w:rFonts w:ascii="Cambria" w:hAnsi="Cambria"/>
        </w:rPr>
        <w:t xml:space="preserve">, con esto se </w:t>
      </w:r>
      <w:r w:rsidR="00CC0DD4">
        <w:rPr>
          <w:rFonts w:ascii="LatoRegular" w:hAnsi="LatoRegular"/>
          <w:color w:val="333333"/>
          <w:sz w:val="21"/>
          <w:szCs w:val="21"/>
          <w:shd w:val="clear" w:color="auto" w:fill="FFFFFF"/>
        </w:rPr>
        <w:t xml:space="preserve"> </w:t>
      </w:r>
      <w:r w:rsidR="00CC0DD4" w:rsidRPr="00CC0DD4">
        <w:rPr>
          <w:rFonts w:ascii="Cambria" w:hAnsi="Cambria"/>
          <w:color w:val="333333"/>
          <w:shd w:val="clear" w:color="auto" w:fill="FFFFFF"/>
        </w:rPr>
        <w:t>pretende demostrar que la intervención sobre el profesorado es un medio efectivo para provocar una mejora en la atención a la diversidad y en la calidad de la enseñanza, ya que la capacitación de los docentes repercute en gran medida en el desarrollo personal, emocional, social y académico del alumnado y en su éxito educativo.</w:t>
      </w:r>
    </w:p>
    <w:p w:rsidR="00033EF9" w:rsidRDefault="00033EF9" w:rsidP="00F844DA">
      <w:pPr>
        <w:rPr>
          <w:rFonts w:ascii="Cambria" w:hAnsi="Cambria"/>
          <w:sz w:val="28"/>
        </w:rPr>
      </w:pPr>
    </w:p>
    <w:p w:rsidR="00033EF9" w:rsidRDefault="00033EF9" w:rsidP="00F844DA">
      <w:pPr>
        <w:rPr>
          <w:rFonts w:ascii="Cambria" w:hAnsi="Cambria"/>
          <w:sz w:val="28"/>
        </w:rPr>
      </w:pPr>
    </w:p>
    <w:p w:rsidR="00033EF9" w:rsidRDefault="00033EF9" w:rsidP="00F844DA">
      <w:pPr>
        <w:rPr>
          <w:rFonts w:ascii="Cambria" w:hAnsi="Cambria"/>
          <w:sz w:val="28"/>
        </w:rPr>
      </w:pPr>
    </w:p>
    <w:p w:rsidR="00CC0DD4" w:rsidRDefault="00CC0DD4" w:rsidP="00033EF9">
      <w:pPr>
        <w:pStyle w:val="Ttulo1"/>
        <w:rPr>
          <w:rFonts w:ascii="Cambria" w:eastAsiaTheme="minorHAnsi" w:hAnsi="Cambria" w:cstheme="minorBidi"/>
          <w:color w:val="auto"/>
          <w:sz w:val="28"/>
          <w:szCs w:val="22"/>
        </w:rPr>
      </w:pPr>
    </w:p>
    <w:p w:rsidR="00033EF9" w:rsidRDefault="00033EF9" w:rsidP="000915CD">
      <w:pPr>
        <w:pStyle w:val="Ttulo1"/>
        <w:jc w:val="center"/>
        <w:rPr>
          <w:rFonts w:ascii="Cambria" w:hAnsi="Cambria"/>
        </w:rPr>
      </w:pPr>
      <w:bookmarkStart w:id="3" w:name="_Toc160742527"/>
      <w:r w:rsidRPr="00033EF9">
        <w:rPr>
          <w:rFonts w:ascii="Cambria" w:hAnsi="Cambria"/>
        </w:rPr>
        <w:t>Desarrollo</w:t>
      </w:r>
      <w:bookmarkEnd w:id="3"/>
    </w:p>
    <w:p w:rsidR="00CC0DD4" w:rsidRPr="00CC0DD4" w:rsidRDefault="00CC0DD4" w:rsidP="00CC0DD4"/>
    <w:p w:rsidR="00CC0DD4" w:rsidRDefault="00CC0DD4" w:rsidP="00CC0DD4">
      <w:pPr>
        <w:rPr>
          <w:rFonts w:ascii="Cambria" w:hAnsi="Cambria"/>
        </w:rPr>
      </w:pPr>
      <w:r w:rsidRPr="009B10F3">
        <w:rPr>
          <w:rFonts w:ascii="Cambria" w:hAnsi="Cambria"/>
        </w:rPr>
        <w:t>Las posiciones epistemológicas en torno a la interculturalidad, la inclusión y la interseccionalidad son fundamentales para comprender y abordar la diversidad en contextos educativos estas posiciones influyen no sólo en la forma en que se construye el conocimiento, sino también en las acciones y políticas implementadas en el contexto del infante lo cual apoya la idea de diálogo entre diferentes culturas, donde se reconocen y valoran diferentes perspectivas, que busca construir un conocimiento colaborativo, que fomenta la igualdad de conocimientos y las interacciones respetuosas entre las culturas que existen en los contextos educativos, también se busca descubrir las dinámicas de dominación cultural y fomentando el conocimiento que desafíe estereotipos y promueva la igualdad cultural.</w:t>
      </w:r>
    </w:p>
    <w:p w:rsidR="00563E85" w:rsidRDefault="00563E85" w:rsidP="00CC0DD4">
      <w:pPr>
        <w:rPr>
          <w:rFonts w:ascii="Cambria" w:hAnsi="Cambria"/>
        </w:rPr>
      </w:pPr>
    </w:p>
    <w:p w:rsidR="00563E85" w:rsidRDefault="00563E85" w:rsidP="000915CD">
      <w:pPr>
        <w:pStyle w:val="Ttulo1"/>
        <w:jc w:val="center"/>
        <w:rPr>
          <w:rFonts w:ascii="Cambria" w:hAnsi="Cambria"/>
        </w:rPr>
      </w:pPr>
      <w:bookmarkStart w:id="4" w:name="_Toc160742528"/>
      <w:r w:rsidRPr="00563E85">
        <w:rPr>
          <w:rFonts w:ascii="Cambria" w:hAnsi="Cambria"/>
        </w:rPr>
        <w:t>Inclusión y exclusión</w:t>
      </w:r>
      <w:bookmarkEnd w:id="4"/>
    </w:p>
    <w:p w:rsidR="00563E85" w:rsidRPr="00563E85" w:rsidRDefault="00563E85" w:rsidP="00563E85"/>
    <w:p w:rsidR="00563E85" w:rsidRPr="009B10F3" w:rsidRDefault="00CC0DD4" w:rsidP="00033EF9">
      <w:pPr>
        <w:rPr>
          <w:rFonts w:ascii="Cambria" w:hAnsi="Cambria"/>
        </w:rPr>
      </w:pPr>
      <w:r w:rsidRPr="009B10F3">
        <w:rPr>
          <w:rFonts w:ascii="Cambria" w:hAnsi="Cambria"/>
        </w:rPr>
        <w:t>En la interseccionalidad,</w:t>
      </w:r>
      <w:r w:rsidR="003B61D6" w:rsidRPr="009B10F3">
        <w:rPr>
          <w:rFonts w:ascii="Cambria" w:hAnsi="Cambria"/>
        </w:rPr>
        <w:t xml:space="preserve"> se</w:t>
      </w:r>
      <w:r w:rsidRPr="009B10F3">
        <w:rPr>
          <w:rFonts w:ascii="Cambria" w:hAnsi="Cambria"/>
        </w:rPr>
        <w:t xml:space="preserve"> adoptó una posición epistemológica feminista que reconoce la diversidad de identidades y la intersección entre </w:t>
      </w:r>
      <w:r w:rsidR="003B61D6" w:rsidRPr="009B10F3">
        <w:rPr>
          <w:rFonts w:ascii="Cambria" w:hAnsi="Cambria"/>
        </w:rPr>
        <w:t xml:space="preserve">diversas formas de opresión el principal </w:t>
      </w:r>
      <w:r w:rsidRPr="009B10F3">
        <w:rPr>
          <w:rFonts w:ascii="Cambria" w:hAnsi="Cambria"/>
        </w:rPr>
        <w:t xml:space="preserve">objetivo es construir </w:t>
      </w:r>
      <w:r w:rsidR="003B61D6" w:rsidRPr="009B10F3">
        <w:rPr>
          <w:rFonts w:ascii="Cambria" w:hAnsi="Cambria"/>
        </w:rPr>
        <w:t xml:space="preserve">un </w:t>
      </w:r>
      <w:r w:rsidRPr="009B10F3">
        <w:rPr>
          <w:rFonts w:ascii="Cambria" w:hAnsi="Cambria"/>
        </w:rPr>
        <w:t xml:space="preserve">conocimiento que tenga en cuenta experiencias únicas y </w:t>
      </w:r>
      <w:r w:rsidR="003B61D6" w:rsidRPr="009B10F3">
        <w:rPr>
          <w:rFonts w:ascii="Cambria" w:hAnsi="Cambria"/>
        </w:rPr>
        <w:t xml:space="preserve">de </w:t>
      </w:r>
      <w:r w:rsidRPr="009B10F3">
        <w:rPr>
          <w:rFonts w:ascii="Cambria" w:hAnsi="Cambria"/>
        </w:rPr>
        <w:t>desigualda</w:t>
      </w:r>
      <w:r w:rsidR="003B61D6" w:rsidRPr="009B10F3">
        <w:rPr>
          <w:rFonts w:ascii="Cambria" w:hAnsi="Cambria"/>
        </w:rPr>
        <w:t>des interrelacionadas a l</w:t>
      </w:r>
      <w:r w:rsidRPr="009B10F3">
        <w:rPr>
          <w:rFonts w:ascii="Cambria" w:hAnsi="Cambria"/>
        </w:rPr>
        <w:t xml:space="preserve">as posiciones epistemológicas en torno a la interculturalidad, la inclusión y la interseccionalidad </w:t>
      </w:r>
      <w:r w:rsidR="003B61D6" w:rsidRPr="009B10F3">
        <w:rPr>
          <w:rFonts w:ascii="Cambria" w:hAnsi="Cambria"/>
        </w:rPr>
        <w:t xml:space="preserve">las cuales </w:t>
      </w:r>
      <w:r w:rsidRPr="009B10F3">
        <w:rPr>
          <w:rFonts w:ascii="Cambria" w:hAnsi="Cambria"/>
        </w:rPr>
        <w:t xml:space="preserve">están </w:t>
      </w:r>
      <w:r w:rsidR="003B61D6" w:rsidRPr="009B10F3">
        <w:rPr>
          <w:rFonts w:ascii="Cambria" w:hAnsi="Cambria"/>
        </w:rPr>
        <w:t xml:space="preserve">relativamente </w:t>
      </w:r>
      <w:r w:rsidRPr="009B10F3">
        <w:rPr>
          <w:rFonts w:ascii="Cambria" w:hAnsi="Cambria"/>
        </w:rPr>
        <w:t>vinculadas al conocimiento de los contextos sociales, económicos y políticos. La elección de esta postura influye en la construcción de conocimientos que no sólo reconozcan la diversidad, sino que también alienten acciones reales para crear un entorno ed</w:t>
      </w:r>
      <w:r w:rsidR="009B10F3" w:rsidRPr="009B10F3">
        <w:rPr>
          <w:rFonts w:ascii="Cambria" w:hAnsi="Cambria"/>
        </w:rPr>
        <w:t>ucativo más inclusivo y justo la</w:t>
      </w:r>
      <w:r w:rsidR="00DE1CE6" w:rsidRPr="009B10F3">
        <w:rPr>
          <w:rFonts w:ascii="Cambria" w:hAnsi="Cambria"/>
        </w:rPr>
        <w:t xml:space="preserve"> propuesta de intervención se basa en una pedagogía </w:t>
      </w:r>
      <w:proofErr w:type="spellStart"/>
      <w:r w:rsidR="00DE1CE6" w:rsidRPr="009B10F3">
        <w:rPr>
          <w:rFonts w:ascii="Cambria" w:hAnsi="Cambria"/>
        </w:rPr>
        <w:t>descolonial</w:t>
      </w:r>
      <w:proofErr w:type="spellEnd"/>
      <w:r w:rsidR="00DE1CE6" w:rsidRPr="009B10F3">
        <w:rPr>
          <w:rFonts w:ascii="Cambria" w:hAnsi="Cambria"/>
        </w:rPr>
        <w:t xml:space="preserve">, </w:t>
      </w:r>
      <w:r w:rsidR="009B10F3" w:rsidRPr="009B10F3">
        <w:rPr>
          <w:rFonts w:ascii="Cambria" w:hAnsi="Cambria"/>
        </w:rPr>
        <w:t>que incorpora</w:t>
      </w:r>
      <w:r w:rsidR="00DE1CE6" w:rsidRPr="009B10F3">
        <w:rPr>
          <w:rFonts w:ascii="Cambria" w:hAnsi="Cambria"/>
        </w:rPr>
        <w:t xml:space="preserve"> conceptos claves de manera  principal es la atención a las prácticas de inclusión y exclusión, las perspectivas de género, los derechos humanos, las condiciones, la justicia, los valores y el ejercicio del poder se integran de manera crítica para transformar los entornos educativos hacia otros más inclusivos y equitativos en los que se</w:t>
      </w:r>
      <w:r w:rsidR="009B10F3" w:rsidRPr="009B10F3">
        <w:rPr>
          <w:rFonts w:ascii="Cambria" w:hAnsi="Cambria"/>
        </w:rPr>
        <w:t xml:space="preserve"> desarrollen estrategias para lograr </w:t>
      </w:r>
      <w:r w:rsidR="00DE1CE6" w:rsidRPr="009B10F3">
        <w:rPr>
          <w:rFonts w:ascii="Cambria" w:hAnsi="Cambria"/>
        </w:rPr>
        <w:t xml:space="preserve"> asimetrías</w:t>
      </w:r>
      <w:r w:rsidR="009B10F3" w:rsidRPr="009B10F3">
        <w:rPr>
          <w:rFonts w:ascii="Cambria" w:hAnsi="Cambria"/>
        </w:rPr>
        <w:t xml:space="preserve"> para que no pueda</w:t>
      </w:r>
      <w:r w:rsidR="00DE1CE6" w:rsidRPr="009B10F3">
        <w:rPr>
          <w:rFonts w:ascii="Cambria" w:hAnsi="Cambria"/>
        </w:rPr>
        <w:t xml:space="preserve"> afectar la experiencia de los estudiantes y profesores esto se busca tanto a</w:t>
      </w:r>
      <w:r w:rsidR="009B10F3" w:rsidRPr="009B10F3">
        <w:rPr>
          <w:rFonts w:ascii="Cambria" w:hAnsi="Cambria"/>
        </w:rPr>
        <w:t xml:space="preserve"> nivel individual como grupal</w:t>
      </w:r>
      <w:r w:rsidR="00DE1CE6" w:rsidRPr="009B10F3">
        <w:rPr>
          <w:rFonts w:ascii="Cambria" w:hAnsi="Cambria"/>
        </w:rPr>
        <w:t>, reconociendo</w:t>
      </w:r>
      <w:r w:rsidR="009B10F3" w:rsidRPr="009B10F3">
        <w:rPr>
          <w:rFonts w:ascii="Cambria" w:hAnsi="Cambria"/>
        </w:rPr>
        <w:t xml:space="preserve"> la necesidad de transformar la desigualdad, incluyendo</w:t>
      </w:r>
      <w:r w:rsidR="00DE1CE6" w:rsidRPr="009B10F3">
        <w:rPr>
          <w:rFonts w:ascii="Cambria" w:hAnsi="Cambria"/>
        </w:rPr>
        <w:t xml:space="preserve"> los valores que se</w:t>
      </w:r>
      <w:r w:rsidR="009B10F3" w:rsidRPr="009B10F3">
        <w:rPr>
          <w:rFonts w:ascii="Cambria" w:hAnsi="Cambria"/>
        </w:rPr>
        <w:t xml:space="preserve"> examinan a través de una </w:t>
      </w:r>
      <w:r w:rsidR="00DE1CE6" w:rsidRPr="009B10F3">
        <w:rPr>
          <w:rFonts w:ascii="Cambria" w:hAnsi="Cambria"/>
        </w:rPr>
        <w:t xml:space="preserve">crítica, promoviendo la reflexión sobre creencias y prácticas arraigadas que pueden limitar la </w:t>
      </w:r>
      <w:r w:rsidR="00563E85">
        <w:rPr>
          <w:rFonts w:ascii="Cambria" w:hAnsi="Cambria"/>
        </w:rPr>
        <w:t>equidad en la comunidad.</w:t>
      </w:r>
    </w:p>
    <w:p w:rsidR="009B10F3" w:rsidRDefault="00563E85" w:rsidP="000915CD">
      <w:pPr>
        <w:pStyle w:val="Ttulo1"/>
        <w:jc w:val="center"/>
        <w:rPr>
          <w:rFonts w:ascii="Cambria" w:hAnsi="Cambria"/>
        </w:rPr>
      </w:pPr>
      <w:bookmarkStart w:id="5" w:name="_Toc160742529"/>
      <w:r w:rsidRPr="00563E85">
        <w:rPr>
          <w:rFonts w:ascii="Cambria" w:hAnsi="Cambria"/>
        </w:rPr>
        <w:t>Contextos</w:t>
      </w:r>
      <w:bookmarkEnd w:id="5"/>
    </w:p>
    <w:p w:rsidR="00563E85" w:rsidRDefault="00563E85" w:rsidP="00033EF9"/>
    <w:p w:rsidR="00563E85" w:rsidRDefault="00D25CDD" w:rsidP="00033EF9">
      <w:pPr>
        <w:rPr>
          <w:rFonts w:ascii="Cambria" w:hAnsi="Cambria"/>
        </w:rPr>
      </w:pPr>
      <w:r>
        <w:rPr>
          <w:rFonts w:ascii="Cambria" w:hAnsi="Cambria"/>
        </w:rPr>
        <w:t xml:space="preserve"> El principal </w:t>
      </w:r>
      <w:r w:rsidR="009B10F3">
        <w:rPr>
          <w:rFonts w:ascii="Cambria" w:hAnsi="Cambria"/>
        </w:rPr>
        <w:t>análisis de un</w:t>
      </w:r>
      <w:r w:rsidR="00DE1CE6" w:rsidRPr="00DE1CE6">
        <w:rPr>
          <w:rFonts w:ascii="Cambria" w:hAnsi="Cambria"/>
        </w:rPr>
        <w:t xml:space="preserve"> contexto social, económico y político es necesario para comprender las condiciones que influyen en las experiencias ed</w:t>
      </w:r>
      <w:r w:rsidR="009B10F3">
        <w:rPr>
          <w:rFonts w:ascii="Cambria" w:hAnsi="Cambria"/>
        </w:rPr>
        <w:t xml:space="preserve">ucativas de los estudiantes su </w:t>
      </w:r>
      <w:r w:rsidR="00DE1CE6" w:rsidRPr="00DE1CE6">
        <w:rPr>
          <w:rFonts w:ascii="Cambria" w:hAnsi="Cambria"/>
        </w:rPr>
        <w:t xml:space="preserve">objetivo es identificar y abordar prácticas de inclusión y exclusión </w:t>
      </w:r>
      <w:r w:rsidR="009B10F3">
        <w:rPr>
          <w:rFonts w:ascii="Cambria" w:hAnsi="Cambria"/>
        </w:rPr>
        <w:t xml:space="preserve">que estén </w:t>
      </w:r>
      <w:r w:rsidR="00DE1CE6" w:rsidRPr="00DE1CE6">
        <w:rPr>
          <w:rFonts w:ascii="Cambria" w:hAnsi="Cambria"/>
        </w:rPr>
        <w:t xml:space="preserve">presentes en </w:t>
      </w:r>
      <w:r w:rsidR="009B10F3">
        <w:rPr>
          <w:rFonts w:ascii="Cambria" w:hAnsi="Cambria"/>
        </w:rPr>
        <w:t xml:space="preserve">los </w:t>
      </w:r>
      <w:r w:rsidR="00DE1CE6" w:rsidRPr="00DE1CE6">
        <w:rPr>
          <w:rFonts w:ascii="Cambria" w:hAnsi="Cambria"/>
        </w:rPr>
        <w:t xml:space="preserve">entornos educativos, reconociendo </w:t>
      </w:r>
      <w:r w:rsidR="009B10F3">
        <w:rPr>
          <w:rFonts w:ascii="Cambria" w:hAnsi="Cambria"/>
        </w:rPr>
        <w:t>la desigualdad l</w:t>
      </w:r>
      <w:r w:rsidR="00DE1CE6" w:rsidRPr="00DE1CE6">
        <w:rPr>
          <w:rFonts w:ascii="Cambria" w:hAnsi="Cambria"/>
        </w:rPr>
        <w:t>a propuesta de intervención se implementa a lo</w:t>
      </w:r>
      <w:r w:rsidR="009B10F3">
        <w:rPr>
          <w:rFonts w:ascii="Cambria" w:hAnsi="Cambria"/>
        </w:rPr>
        <w:t xml:space="preserve"> largo de un año escolar,  sufriendo </w:t>
      </w:r>
      <w:r w:rsidR="00DE1CE6" w:rsidRPr="00DE1CE6">
        <w:rPr>
          <w:rFonts w:ascii="Cambria" w:hAnsi="Cambria"/>
        </w:rPr>
        <w:t xml:space="preserve"> limitaciones de tiempo y de implemen</w:t>
      </w:r>
      <w:r w:rsidR="009B10F3">
        <w:rPr>
          <w:rFonts w:ascii="Cambria" w:hAnsi="Cambria"/>
        </w:rPr>
        <w:t xml:space="preserve">tación, pero el </w:t>
      </w:r>
      <w:r w:rsidR="009B10F3">
        <w:rPr>
          <w:rFonts w:ascii="Cambria" w:hAnsi="Cambria"/>
        </w:rPr>
        <w:lastRenderedPageBreak/>
        <w:t xml:space="preserve">cambio es muy amplio </w:t>
      </w:r>
      <w:r w:rsidR="00DE1CE6" w:rsidRPr="00DE1CE6">
        <w:rPr>
          <w:rFonts w:ascii="Cambria" w:hAnsi="Cambria"/>
        </w:rPr>
        <w:t xml:space="preserve">y las oportunidades superan las deficiencias de la propuesta, contribuyendo al desarrollo </w:t>
      </w:r>
      <w:r w:rsidR="009B10F3">
        <w:rPr>
          <w:rFonts w:ascii="Cambria" w:hAnsi="Cambria"/>
        </w:rPr>
        <w:t>de un personal docente, los cuales son capaces de enfrentar los</w:t>
      </w:r>
      <w:r w:rsidR="00563E85">
        <w:rPr>
          <w:rFonts w:ascii="Cambria" w:hAnsi="Cambria"/>
        </w:rPr>
        <w:t xml:space="preserve"> </w:t>
      </w:r>
      <w:r w:rsidR="009B10F3">
        <w:rPr>
          <w:rFonts w:ascii="Cambria" w:hAnsi="Cambria"/>
        </w:rPr>
        <w:t>desafíos en un</w:t>
      </w:r>
      <w:r w:rsidR="00DE1CE6" w:rsidRPr="00DE1CE6">
        <w:rPr>
          <w:rFonts w:ascii="Cambria" w:hAnsi="Cambria"/>
        </w:rPr>
        <w:t xml:space="preserve"> cambio continuo</w:t>
      </w:r>
      <w:r w:rsidR="00563E85">
        <w:rPr>
          <w:rFonts w:ascii="Cambria" w:hAnsi="Cambria"/>
        </w:rPr>
        <w:t xml:space="preserve"> del sistema y de la sociedad.</w:t>
      </w:r>
    </w:p>
    <w:p w:rsidR="00563E85" w:rsidRDefault="00563E85" w:rsidP="000915CD">
      <w:pPr>
        <w:pStyle w:val="Ttulo1"/>
        <w:jc w:val="center"/>
        <w:rPr>
          <w:rFonts w:ascii="Cambria" w:hAnsi="Cambria"/>
        </w:rPr>
      </w:pPr>
      <w:bookmarkStart w:id="6" w:name="_Toc160742530"/>
      <w:r w:rsidRPr="00563E85">
        <w:rPr>
          <w:rFonts w:ascii="Cambria" w:hAnsi="Cambria"/>
        </w:rPr>
        <w:t>Intervención docente</w:t>
      </w:r>
      <w:bookmarkEnd w:id="6"/>
    </w:p>
    <w:p w:rsidR="00563E85" w:rsidRPr="00563E85" w:rsidRDefault="00563E85" w:rsidP="00563E85"/>
    <w:p w:rsidR="009B10F3" w:rsidRDefault="00563E85" w:rsidP="00033EF9">
      <w:pPr>
        <w:rPr>
          <w:rFonts w:ascii="Cambria" w:hAnsi="Cambria"/>
        </w:rPr>
      </w:pPr>
      <w:r>
        <w:rPr>
          <w:rFonts w:ascii="Cambria" w:hAnsi="Cambria"/>
        </w:rPr>
        <w:t>C</w:t>
      </w:r>
      <w:r w:rsidR="009B10F3">
        <w:rPr>
          <w:rFonts w:ascii="Cambria" w:hAnsi="Cambria"/>
        </w:rPr>
        <w:t xml:space="preserve">on </w:t>
      </w:r>
      <w:r w:rsidR="00DE1CE6" w:rsidRPr="00DE1CE6">
        <w:rPr>
          <w:rFonts w:ascii="Cambria" w:hAnsi="Cambria"/>
        </w:rPr>
        <w:t xml:space="preserve"> la creación de una cul</w:t>
      </w:r>
      <w:r>
        <w:rPr>
          <w:rFonts w:ascii="Cambria" w:hAnsi="Cambria"/>
        </w:rPr>
        <w:t xml:space="preserve">tura de innovación que está </w:t>
      </w:r>
      <w:r w:rsidR="00DE1CE6" w:rsidRPr="00DE1CE6">
        <w:rPr>
          <w:rFonts w:ascii="Cambria" w:hAnsi="Cambria"/>
        </w:rPr>
        <w:t>basada en la investigaci</w:t>
      </w:r>
      <w:r w:rsidR="009B10F3">
        <w:rPr>
          <w:rFonts w:ascii="Cambria" w:hAnsi="Cambria"/>
        </w:rPr>
        <w:t>ón y el aprendizaje de experiencia</w:t>
      </w:r>
      <w:r w:rsidR="00DE1CE6" w:rsidRPr="00DE1CE6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que está formado </w:t>
      </w:r>
      <w:r w:rsidR="00DE1CE6" w:rsidRPr="00DE1CE6">
        <w:rPr>
          <w:rFonts w:ascii="Cambria" w:hAnsi="Cambria"/>
        </w:rPr>
        <w:t xml:space="preserve"> sobre</w:t>
      </w:r>
      <w:r w:rsidR="009B10F3">
        <w:rPr>
          <w:rFonts w:ascii="Cambria" w:hAnsi="Cambria"/>
        </w:rPr>
        <w:t xml:space="preserve"> una </w:t>
      </w:r>
      <w:r w:rsidR="00DE1CE6" w:rsidRPr="00DE1CE6">
        <w:rPr>
          <w:rFonts w:ascii="Cambria" w:hAnsi="Cambria"/>
        </w:rPr>
        <w:t xml:space="preserve"> la reflexión crí</w:t>
      </w:r>
      <w:r w:rsidR="009B10F3">
        <w:rPr>
          <w:rFonts w:ascii="Cambria" w:hAnsi="Cambria"/>
        </w:rPr>
        <w:t xml:space="preserve">tica de la propia práctica y un </w:t>
      </w:r>
      <w:r w:rsidR="00DE1CE6" w:rsidRPr="00DE1CE6">
        <w:rPr>
          <w:rFonts w:ascii="Cambria" w:hAnsi="Cambria"/>
        </w:rPr>
        <w:t>aprendizaje a través de la práctica colaborativa.</w:t>
      </w:r>
    </w:p>
    <w:p w:rsidR="00033EF9" w:rsidRDefault="00DE1CE6" w:rsidP="00033EF9">
      <w:pPr>
        <w:rPr>
          <w:rFonts w:ascii="Cambria" w:hAnsi="Cambria" w:cs="Segoe UI"/>
          <w:color w:val="0D0D0D"/>
          <w:shd w:val="clear" w:color="auto" w:fill="FFFFFF"/>
        </w:rPr>
      </w:pPr>
      <w:r w:rsidRPr="00DE1CE6">
        <w:rPr>
          <w:rFonts w:ascii="Cambria" w:hAnsi="Cambria"/>
        </w:rPr>
        <w:t xml:space="preserve"> Esta propuesta busca demostrar que la intervención docente es un medio eficaz para aumentar la atención a la diversidad y la calidad de la enseñanza porque la preparación docente tiene un gran impacto en las habilidades personales, emocionales, sociales y académicas de los estudiantes, así como en sus ha</w:t>
      </w:r>
      <w:r w:rsidR="009B10F3">
        <w:rPr>
          <w:rFonts w:ascii="Cambria" w:hAnsi="Cambria"/>
        </w:rPr>
        <w:t>bilidades educativas</w:t>
      </w:r>
      <w:r w:rsidR="009B10F3" w:rsidRPr="00563E85">
        <w:rPr>
          <w:rFonts w:ascii="Cambria" w:hAnsi="Cambria"/>
        </w:rPr>
        <w:t xml:space="preserve">, </w:t>
      </w:r>
      <w:r w:rsidR="009B10F3" w:rsidRPr="00563E85">
        <w:rPr>
          <w:rFonts w:ascii="Cambria" w:hAnsi="Cambria" w:cs="Segoe UI"/>
          <w:color w:val="0D0D0D"/>
          <w:shd w:val="clear" w:color="auto" w:fill="FFFFFF"/>
        </w:rPr>
        <w:t>La intervención docente no solo implica adaptar las prácticas pedagógicas, sino también cuestionar y transformar las estructuras que perpetúan desigualdades, considerando posturas epistemológicas de interculturalidad, inclusión e interseccionalidad en el contexto específico.</w:t>
      </w:r>
      <w:r w:rsidR="009B10F3" w:rsidRPr="00563E85">
        <w:rPr>
          <w:rFonts w:ascii="Cambria" w:hAnsi="Cambria"/>
        </w:rPr>
        <w:t xml:space="preserve"> </w:t>
      </w:r>
      <w:r w:rsidR="00563E85" w:rsidRPr="00563E85">
        <w:rPr>
          <w:rFonts w:ascii="Cambria" w:hAnsi="Cambria"/>
        </w:rPr>
        <w:t>E</w:t>
      </w:r>
      <w:r w:rsidR="00563E85">
        <w:rPr>
          <w:rFonts w:ascii="Cambria" w:hAnsi="Cambria" w:cs="Segoe UI"/>
          <w:color w:val="0D0D0D"/>
          <w:shd w:val="clear" w:color="auto" w:fill="FFFFFF"/>
        </w:rPr>
        <w:t xml:space="preserve">sto se llega a </w:t>
      </w:r>
      <w:r w:rsidR="00563E85" w:rsidRPr="00563E85">
        <w:rPr>
          <w:rFonts w:ascii="Cambria" w:hAnsi="Cambria" w:cs="Segoe UI"/>
          <w:color w:val="0D0D0D"/>
          <w:shd w:val="clear" w:color="auto" w:fill="FFFFFF"/>
        </w:rPr>
        <w:t xml:space="preserve"> logra mediante la diferencia </w:t>
      </w:r>
      <w:r w:rsidR="00563E85">
        <w:rPr>
          <w:rFonts w:ascii="Cambria" w:hAnsi="Cambria" w:cs="Segoe UI"/>
          <w:color w:val="0D0D0D"/>
          <w:shd w:val="clear" w:color="auto" w:fill="FFFFFF"/>
        </w:rPr>
        <w:t xml:space="preserve">del contenido ya sean </w:t>
      </w:r>
      <w:r w:rsidR="00563E85" w:rsidRPr="00563E85">
        <w:rPr>
          <w:rFonts w:ascii="Cambria" w:hAnsi="Cambria" w:cs="Segoe UI"/>
          <w:color w:val="0D0D0D"/>
          <w:shd w:val="clear" w:color="auto" w:fill="FFFFFF"/>
        </w:rPr>
        <w:t>métodos y ev</w:t>
      </w:r>
      <w:r w:rsidR="00563E85">
        <w:rPr>
          <w:rFonts w:ascii="Cambria" w:hAnsi="Cambria" w:cs="Segoe UI"/>
          <w:color w:val="0D0D0D"/>
          <w:shd w:val="clear" w:color="auto" w:fill="FFFFFF"/>
        </w:rPr>
        <w:t xml:space="preserve">aluaciones, asegurando que </w:t>
      </w:r>
      <w:r w:rsidR="00563E85" w:rsidRPr="00563E85">
        <w:rPr>
          <w:rFonts w:ascii="Cambria" w:hAnsi="Cambria" w:cs="Segoe UI"/>
          <w:color w:val="0D0D0D"/>
          <w:shd w:val="clear" w:color="auto" w:fill="FFFFFF"/>
        </w:rPr>
        <w:t xml:space="preserve"> los estudiantes tengan </w:t>
      </w:r>
      <w:r w:rsidR="00563E85">
        <w:rPr>
          <w:rFonts w:ascii="Cambria" w:hAnsi="Cambria" w:cs="Segoe UI"/>
          <w:color w:val="0D0D0D"/>
          <w:shd w:val="clear" w:color="auto" w:fill="FFFFFF"/>
        </w:rPr>
        <w:t xml:space="preserve">el </w:t>
      </w:r>
      <w:r w:rsidR="00563E85" w:rsidRPr="00563E85">
        <w:rPr>
          <w:rFonts w:ascii="Cambria" w:hAnsi="Cambria" w:cs="Segoe UI"/>
          <w:color w:val="0D0D0D"/>
          <w:shd w:val="clear" w:color="auto" w:fill="FFFFFF"/>
        </w:rPr>
        <w:t>acceso a oportunidades de aprendizaje significativas</w:t>
      </w:r>
      <w:r w:rsidR="00563E85">
        <w:rPr>
          <w:rFonts w:ascii="Cambria" w:hAnsi="Cambria" w:cs="Segoe UI"/>
          <w:color w:val="0D0D0D"/>
          <w:shd w:val="clear" w:color="auto" w:fill="FFFFFF"/>
        </w:rPr>
        <w:t xml:space="preserve"> en el aula que les sirvan a la vida. </w:t>
      </w:r>
    </w:p>
    <w:p w:rsidR="00563E85" w:rsidRDefault="00563E85" w:rsidP="000915CD">
      <w:pPr>
        <w:jc w:val="center"/>
        <w:rPr>
          <w:rFonts w:ascii="Cambria" w:hAnsi="Cambria" w:cs="Segoe UI"/>
          <w:color w:val="0D0D0D"/>
          <w:shd w:val="clear" w:color="auto" w:fill="FFFFFF"/>
        </w:rPr>
      </w:pPr>
    </w:p>
    <w:p w:rsidR="00563E85" w:rsidRDefault="00563E85" w:rsidP="000915CD">
      <w:pPr>
        <w:pStyle w:val="Ttulo1"/>
        <w:jc w:val="center"/>
        <w:rPr>
          <w:rFonts w:ascii="Cambria" w:hAnsi="Cambria"/>
          <w:shd w:val="clear" w:color="auto" w:fill="FFFFFF"/>
        </w:rPr>
      </w:pPr>
      <w:bookmarkStart w:id="7" w:name="_Toc160742531"/>
      <w:r w:rsidRPr="00563E85">
        <w:rPr>
          <w:rFonts w:ascii="Cambria" w:hAnsi="Cambria"/>
          <w:shd w:val="clear" w:color="auto" w:fill="FFFFFF"/>
        </w:rPr>
        <w:t>Asimetrías en Preescolar</w:t>
      </w:r>
      <w:bookmarkEnd w:id="7"/>
    </w:p>
    <w:p w:rsidR="00563E85" w:rsidRDefault="00563E85" w:rsidP="00563E85"/>
    <w:p w:rsidR="00563E85" w:rsidRPr="00563E85" w:rsidRDefault="00563E85" w:rsidP="00563E85">
      <w:pPr>
        <w:rPr>
          <w:rFonts w:ascii="Cambria" w:hAnsi="Cambria"/>
        </w:rPr>
      </w:pPr>
      <w:r w:rsidRPr="00563E85">
        <w:rPr>
          <w:rFonts w:ascii="Cambria" w:hAnsi="Cambria"/>
        </w:rPr>
        <w:t xml:space="preserve">Las asimetrías en el mundo académico se pueden abordar desde múltiples ángulos, y el reconocimiento es fundamental para implementar intervenciones educativas efectivas que promuevan la equidad y la inclusión. Hay brechas en recursos, acceso a tecnología y recursos educativos en el hogar. Otros sectores, incluidas las intervenciones educativas, necesitan abordar estas asimetrías para que todos los niños tengan el mismo acceso a recursos educativos como libros, libros de texto, instalaciones y actividades curriculares. En una universidad, la experiencia se vuelve menos variada. Educación, que incide en el rendimiento académico y el bienestar emocional de los estudiantes a través de la estimulación intelectual y el apoyo emocional, creando adaptaciones a los estilos de aprendizaje y comunicación de los estudiantes, y asegurando que los estudiantes estén adecuadamente equilibrados en sus diferentes habilidades y destrezas. </w:t>
      </w:r>
      <w:proofErr w:type="gramStart"/>
      <w:r w:rsidRPr="00563E85">
        <w:rPr>
          <w:rFonts w:ascii="Cambria" w:hAnsi="Cambria"/>
        </w:rPr>
        <w:t>estar</w:t>
      </w:r>
      <w:proofErr w:type="gramEnd"/>
      <w:r w:rsidRPr="00563E85">
        <w:rPr>
          <w:rFonts w:ascii="Cambria" w:hAnsi="Cambria"/>
        </w:rPr>
        <w:t xml:space="preserve"> borracho Estilos de aprendizaje Aprender con esta diversidad de oportunidades permite que todos los niños exploren y desarrollen sus habilidades. Esto incluye adaptar los métodos de enseñanza, promover la igualdad de oportunidades y reconocer la diversidad que existe en la comunidad académica.</w:t>
      </w:r>
    </w:p>
    <w:p w:rsidR="00563E85" w:rsidRPr="00563E85" w:rsidRDefault="00563E85" w:rsidP="00563E85"/>
    <w:p w:rsidR="00033EF9" w:rsidRDefault="00033EF9" w:rsidP="00563E85"/>
    <w:p w:rsidR="000915CD" w:rsidRDefault="000915CD" w:rsidP="00563E85"/>
    <w:p w:rsidR="00033EF9" w:rsidRPr="000915CD" w:rsidRDefault="00033EF9" w:rsidP="000915CD">
      <w:pPr>
        <w:pStyle w:val="Ttulo1"/>
        <w:jc w:val="center"/>
        <w:rPr>
          <w:rFonts w:ascii="Cambria" w:hAnsi="Cambria"/>
        </w:rPr>
      </w:pPr>
      <w:bookmarkStart w:id="8" w:name="_Toc160742532"/>
      <w:r w:rsidRPr="000915CD">
        <w:rPr>
          <w:rFonts w:ascii="Cambria" w:hAnsi="Cambria"/>
        </w:rPr>
        <w:lastRenderedPageBreak/>
        <w:t>Conclusión</w:t>
      </w:r>
      <w:bookmarkEnd w:id="8"/>
    </w:p>
    <w:p w:rsidR="000915CD" w:rsidRDefault="000915CD" w:rsidP="000915CD"/>
    <w:p w:rsidR="000915CD" w:rsidRPr="000915CD" w:rsidRDefault="000915CD" w:rsidP="000915CD">
      <w:pPr>
        <w:rPr>
          <w:rFonts w:ascii="Cambria" w:hAnsi="Cambria"/>
        </w:rPr>
      </w:pPr>
      <w:r w:rsidRPr="000915CD">
        <w:rPr>
          <w:rFonts w:ascii="Cambria" w:hAnsi="Cambria"/>
        </w:rPr>
        <w:t>En términos de inclusión, se sabe que su postura feminista reconoce la intersección de diferentes formas de identidad y diferentes formas de opresión. El objetivo principal es construir conocimiento que tenga en cuenta las circunstancias únicas y los desacuerdos asociados con la naturaleza epistemológica. , la inclusión y la integración están estrechamente relacionadas con el conocimiento social, económico y político. Esta elección de actitud implica construir conocimientos que no sólo reconozcan la diversidad, sino que también alienten la acción para crear un entorno de apren</w:t>
      </w:r>
      <w:r>
        <w:rPr>
          <w:rFonts w:ascii="Cambria" w:hAnsi="Cambria"/>
        </w:rPr>
        <w:t>dizaje inclusivo e igualitario con l</w:t>
      </w:r>
      <w:r w:rsidRPr="000915CD">
        <w:rPr>
          <w:rFonts w:ascii="Cambria" w:hAnsi="Cambria"/>
        </w:rPr>
        <w:t>a teoría de la acción se basa en la teoría decolonial e incorpora principios clave de una manera diferente. Su enfoque está en temas de inclusión y exclusión, perspectivas de género, derechos humanos, condiciones, justicia, cultura y el uso del poder, integrados de manera compleja para cambiar el entorno educativo, con un análisis inicial de cuestiones soci</w:t>
      </w:r>
      <w:r>
        <w:rPr>
          <w:rFonts w:ascii="Cambria" w:hAnsi="Cambria"/>
        </w:rPr>
        <w:t>ales, económicas y políticas lo cual logra c</w:t>
      </w:r>
      <w:r w:rsidRPr="000915CD">
        <w:rPr>
          <w:rFonts w:ascii="Cambria" w:hAnsi="Cambria"/>
        </w:rPr>
        <w:t xml:space="preserve">omprender </w:t>
      </w:r>
      <w:r>
        <w:rPr>
          <w:rFonts w:ascii="Cambria" w:hAnsi="Cambria"/>
        </w:rPr>
        <w:t xml:space="preserve">como </w:t>
      </w:r>
      <w:r w:rsidRPr="000915CD">
        <w:rPr>
          <w:rFonts w:ascii="Cambria" w:hAnsi="Cambria"/>
        </w:rPr>
        <w:t>esto afecta las experiencias educativas de los estudiantes. Su propósito es identificar y abordar formas de inclusión y exclusión en entornos de aprendizaje y comprender estos entornos.</w:t>
      </w:r>
    </w:p>
    <w:p w:rsidR="00563E85" w:rsidRPr="000915CD" w:rsidRDefault="000915CD" w:rsidP="000915CD">
      <w:pPr>
        <w:rPr>
          <w:rFonts w:ascii="Cambria" w:hAnsi="Cambria"/>
        </w:rPr>
      </w:pPr>
      <w:r w:rsidRPr="000915CD">
        <w:rPr>
          <w:rFonts w:ascii="Cambria" w:hAnsi="Cambria"/>
        </w:rPr>
        <w:t>Crear una cultura de innovación basada en la investigación y el aprendizaje experiencial, el pensamiento crítico en el trabajo y el a</w:t>
      </w:r>
      <w:r>
        <w:rPr>
          <w:rFonts w:ascii="Cambria" w:hAnsi="Cambria"/>
        </w:rPr>
        <w:t>prendizaje colaborativo l</w:t>
      </w:r>
      <w:r w:rsidRPr="000915CD">
        <w:rPr>
          <w:rFonts w:ascii="Cambria" w:hAnsi="Cambria"/>
        </w:rPr>
        <w:t>as asimetrías en la educación se pueden abordar desde múltiples perspectivas, que sabemos que son importantes para implementar estrategias educativas que promuevan la equidad y la inclusión. Hay vacíos en la economía, la tecnología y el conocimiento del país. Otros sectores, incluidos los métodos educativos, deben abordar esta cuestión para que todos los niños tengan igual acceso a la educación, como libros, libros de texto, lecciones y actividades. En la universidad la situación es diferente. Un plan de estudios que influye en el aprendizaje y el bienestar emocional de los estudiantes a través de la estimulación intelectual y el apoyo emocional, cambia las estrategias de aprendizaje y comunicación de los estudiantes y garantiza que las habilidades y habilidades de los diferentes estudiantes. Tipos de aprendizaje loco Este estilo de aprendizaje permite a todos los niños explorar y desarrollar su creatividad. Esto incluye cambiar los métodos de enseñanza, promover la igualdad de oportunidades y reconocer las diferencias entre las personas.</w:t>
      </w:r>
    </w:p>
    <w:p w:rsidR="00033EF9" w:rsidRPr="000915CD" w:rsidRDefault="00033EF9" w:rsidP="00033EF9">
      <w:pPr>
        <w:rPr>
          <w:rFonts w:ascii="Cambria" w:hAnsi="Cambria"/>
        </w:rPr>
      </w:pPr>
    </w:p>
    <w:p w:rsidR="00033EF9" w:rsidRDefault="00033EF9" w:rsidP="00033EF9"/>
    <w:p w:rsidR="00033EF9" w:rsidRDefault="00033EF9" w:rsidP="00033EF9"/>
    <w:p w:rsidR="00033EF9" w:rsidRDefault="00033EF9" w:rsidP="00033EF9"/>
    <w:p w:rsidR="00033EF9" w:rsidRDefault="00033EF9" w:rsidP="00033EF9"/>
    <w:p w:rsidR="00033EF9" w:rsidRDefault="00033EF9" w:rsidP="00033EF9"/>
    <w:p w:rsidR="00033EF9" w:rsidRDefault="00033EF9" w:rsidP="00033EF9"/>
    <w:p w:rsidR="00033EF9" w:rsidRDefault="00033EF9" w:rsidP="00033EF9"/>
    <w:p w:rsidR="00033EF9" w:rsidRPr="000915CD" w:rsidRDefault="00033EF9" w:rsidP="000915CD">
      <w:pPr>
        <w:pStyle w:val="Ttulo1"/>
        <w:jc w:val="center"/>
        <w:rPr>
          <w:rFonts w:ascii="Cambria" w:hAnsi="Cambria"/>
        </w:rPr>
      </w:pPr>
      <w:bookmarkStart w:id="9" w:name="_Toc160742533"/>
      <w:r w:rsidRPr="000915CD">
        <w:rPr>
          <w:rFonts w:ascii="Cambria" w:hAnsi="Cambria"/>
        </w:rPr>
        <w:lastRenderedPageBreak/>
        <w:t>Bibliografías</w:t>
      </w:r>
      <w:bookmarkEnd w:id="9"/>
    </w:p>
    <w:p w:rsidR="000915CD" w:rsidRPr="000915CD" w:rsidRDefault="000915CD" w:rsidP="000915CD"/>
    <w:p w:rsidR="00CC0DD4" w:rsidRDefault="00CC0DD4" w:rsidP="00CC0DD4">
      <w:pPr>
        <w:pStyle w:val="NormalWeb"/>
        <w:shd w:val="clear" w:color="auto" w:fill="F7F7F7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Programa de Estudio 2011 (2011). Guía para la Educadora Educación Básica Preescolar. México: SEP</w:t>
      </w:r>
    </w:p>
    <w:p w:rsidR="00CC0DD4" w:rsidRDefault="00CC0DD4" w:rsidP="00CC0DD4">
      <w:pPr>
        <w:pStyle w:val="NormalWeb"/>
        <w:shd w:val="clear" w:color="auto" w:fill="F7F7F7"/>
        <w:spacing w:before="0" w:beforeAutospacing="0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Romero, S. y García, I. (2013). Educación especial en México. Desafíos de la educación inclusiva. Revista Latinoamericana de Inclusión Educativa, 7(2), pp. 77-91.</w:t>
      </w:r>
    </w:p>
    <w:p w:rsidR="00CC0DD4" w:rsidRPr="00CC0DD4" w:rsidRDefault="00CC0DD4" w:rsidP="00CC0DD4"/>
    <w:p w:rsidR="00CC0DD4" w:rsidRPr="00CC0DD4" w:rsidRDefault="00CC0DD4" w:rsidP="00CC0DD4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Cobo-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Rugama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M. (2023).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La atención a la diversidad en Secundaria: una propuesta de intervención a través de una Comunidad Profesional de Aprendizaje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Master's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thesis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</w:p>
    <w:p w:rsidR="00033EF9" w:rsidRDefault="00033EF9" w:rsidP="0001534A">
      <w:pPr>
        <w:jc w:val="center"/>
      </w:pPr>
    </w:p>
    <w:p w:rsidR="000915CD" w:rsidRDefault="000915CD" w:rsidP="000915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Chaves, M., Segura, R., Speroni,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Cingolani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J. (2017). Interdependencias múltiples y asimetrías entre géneros en experiencias de movilidad cotidiana en el corredor sur de la Región Metropolitana de Buenos Aires (Argentina).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Revista Transporte y territorio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(16), 41-67.</w:t>
      </w:r>
    </w:p>
    <w:p w:rsidR="000915CD" w:rsidRDefault="000915CD" w:rsidP="000915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0915CD" w:rsidRDefault="000915CD" w:rsidP="000915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Lacunza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B.,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Contini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González, N. (2009). Las habilidades sociales en niños preescolares en contextos de pobreza.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Ciencias psicológicas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57-66.</w:t>
      </w:r>
    </w:p>
    <w:p w:rsidR="000915CD" w:rsidRDefault="000915CD" w:rsidP="000915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0915CD" w:rsidRDefault="000915CD" w:rsidP="000915CD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Guevara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Benitez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C. Y.,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Rugerio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Tapia, J. P., Hermosillo García, Á. M., &amp; Corona Guevara, L. A. (2020). Aprendizaje socioemocional en preescolar: fundamentos, revisión de investigaciones y propuestas.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Revista electrónica de investigación educativa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0915CD" w:rsidRDefault="000915CD" w:rsidP="000915CD"/>
    <w:sectPr w:rsidR="00091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61"/>
    <w:rsid w:val="0001534A"/>
    <w:rsid w:val="00033EF9"/>
    <w:rsid w:val="00042AD5"/>
    <w:rsid w:val="000915CD"/>
    <w:rsid w:val="00121961"/>
    <w:rsid w:val="003B61D6"/>
    <w:rsid w:val="00531E23"/>
    <w:rsid w:val="00563E85"/>
    <w:rsid w:val="006B4E56"/>
    <w:rsid w:val="009B10F3"/>
    <w:rsid w:val="00CC0DD4"/>
    <w:rsid w:val="00D25CDD"/>
    <w:rsid w:val="00D37346"/>
    <w:rsid w:val="00DE1CE6"/>
    <w:rsid w:val="00F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97B70-E9C5-4661-91C2-2F32FDAE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44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44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F844DA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042AD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042A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C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A38E-47C5-47EF-AB07-669B4AA3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2082</Words>
  <Characters>11457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FERNANDA YAMILET RAMOS ESQUIVEL</cp:lastModifiedBy>
  <cp:revision>4</cp:revision>
  <dcterms:created xsi:type="dcterms:W3CDTF">2024-03-07T23:34:00Z</dcterms:created>
  <dcterms:modified xsi:type="dcterms:W3CDTF">2024-03-08T04:22:00Z</dcterms:modified>
</cp:coreProperties>
</file>