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349"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32"/>
          <w:szCs w:val="32"/>
        </w:rPr>
        <w:t>GOBIERNO DEL ESTADO DE COAHUILA DE ZARAGOZA</w:t>
      </w:r>
      <w:r>
        <w:rPr>
          <w:rStyle w:val="eop"/>
          <w:rFonts w:eastAsiaTheme="majorEastAsia"/>
          <w:color w:val="000000"/>
          <w:sz w:val="32"/>
          <w:szCs w:val="32"/>
        </w:rPr>
        <w:t> </w:t>
      </w:r>
    </w:p>
    <w:p w14:paraId="453D6C42"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32"/>
          <w:szCs w:val="32"/>
        </w:rPr>
        <w:t>SECRETARIA DE EDUCACIÓN </w:t>
      </w:r>
      <w:r>
        <w:rPr>
          <w:rStyle w:val="eop"/>
          <w:rFonts w:eastAsiaTheme="majorEastAsia"/>
          <w:color w:val="000000"/>
          <w:sz w:val="32"/>
          <w:szCs w:val="32"/>
        </w:rPr>
        <w:t> </w:t>
      </w:r>
    </w:p>
    <w:p w14:paraId="606EF9AA"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color w:val="000000"/>
          <w:sz w:val="32"/>
          <w:szCs w:val="32"/>
        </w:rPr>
        <w:t xml:space="preserve">ESCUELA NORMAL DE </w:t>
      </w:r>
      <w:proofErr w:type="spellStart"/>
      <w:r w:rsidRPr="00C6580A">
        <w:rPr>
          <w:rStyle w:val="normaltextrun"/>
          <w:rFonts w:eastAsiaTheme="majorEastAsia"/>
          <w:color w:val="000000"/>
          <w:sz w:val="32"/>
          <w:szCs w:val="32"/>
        </w:rPr>
        <w:t>EDUCACI</w:t>
      </w:r>
      <w:proofErr w:type="spellEnd"/>
      <w:r>
        <w:rPr>
          <w:rStyle w:val="normaltextrun"/>
          <w:rFonts w:eastAsiaTheme="majorEastAsia"/>
          <w:color w:val="000000"/>
          <w:sz w:val="32"/>
          <w:szCs w:val="32"/>
          <w:lang w:val="es-ES"/>
        </w:rPr>
        <w:t>Ó</w:t>
      </w:r>
      <w:r w:rsidRPr="00C6580A">
        <w:rPr>
          <w:rStyle w:val="normaltextrun"/>
          <w:rFonts w:eastAsiaTheme="majorEastAsia"/>
          <w:color w:val="000000"/>
          <w:sz w:val="32"/>
          <w:szCs w:val="32"/>
        </w:rPr>
        <w:t>N PREESCOLAR </w:t>
      </w:r>
      <w:r>
        <w:rPr>
          <w:rStyle w:val="eop"/>
          <w:rFonts w:eastAsiaTheme="majorEastAsia"/>
          <w:color w:val="000000"/>
          <w:sz w:val="32"/>
          <w:szCs w:val="32"/>
        </w:rPr>
        <w:t> </w:t>
      </w:r>
    </w:p>
    <w:p w14:paraId="1C6CD8DC"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20"/>
          <w:szCs w:val="20"/>
        </w:rPr>
        <w:t> </w:t>
      </w:r>
    </w:p>
    <w:p w14:paraId="16C82B31" w14:textId="5436C5E8"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wacimagecontainer"/>
          <w:rFonts w:ascii="Segoe UI" w:eastAsiaTheme="majorEastAsia" w:hAnsi="Segoe UI" w:cs="Segoe UI"/>
          <w:noProof/>
          <w:color w:val="000000"/>
          <w:sz w:val="18"/>
          <w:szCs w:val="18"/>
        </w:rPr>
        <w:drawing>
          <wp:inline distT="0" distB="0" distL="0" distR="0" wp14:anchorId="47F378FC" wp14:editId="71C6018F">
            <wp:extent cx="1118870" cy="1664970"/>
            <wp:effectExtent l="0" t="0" r="5080" b="0"/>
            <wp:docPr id="1942456968"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señal con letras y números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870" cy="1664970"/>
                    </a:xfrm>
                    <a:prstGeom prst="rect">
                      <a:avLst/>
                    </a:prstGeom>
                    <a:noFill/>
                    <a:ln>
                      <a:noFill/>
                    </a:ln>
                  </pic:spPr>
                </pic:pic>
              </a:graphicData>
            </a:graphic>
          </wp:inline>
        </w:drawing>
      </w:r>
      <w:r>
        <w:rPr>
          <w:rStyle w:val="eop"/>
          <w:rFonts w:eastAsiaTheme="majorEastAsia"/>
          <w:color w:val="000000"/>
        </w:rPr>
        <w:t> </w:t>
      </w:r>
    </w:p>
    <w:p w14:paraId="182DC448"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rPr>
        <w:t> </w:t>
      </w:r>
    </w:p>
    <w:p w14:paraId="4F13729A" w14:textId="369B2C58" w:rsidR="00C6580A" w:rsidRDefault="00C6580A" w:rsidP="00C6580A">
      <w:pPr>
        <w:pStyle w:val="paragraph"/>
        <w:spacing w:before="0" w:beforeAutospacing="0" w:after="0" w:afterAutospacing="0"/>
        <w:jc w:val="center"/>
        <w:textAlignment w:val="baseline"/>
        <w:rPr>
          <w:rStyle w:val="normaltextrun"/>
          <w:rFonts w:eastAsiaTheme="majorEastAsia"/>
          <w:b/>
          <w:bCs/>
          <w:color w:val="000000"/>
          <w:sz w:val="32"/>
          <w:szCs w:val="32"/>
        </w:rPr>
      </w:pPr>
      <w:r>
        <w:rPr>
          <w:rStyle w:val="normaltextrun"/>
          <w:rFonts w:eastAsiaTheme="majorEastAsia"/>
          <w:b/>
          <w:bCs/>
          <w:color w:val="000000"/>
          <w:sz w:val="32"/>
          <w:szCs w:val="32"/>
        </w:rPr>
        <w:t>T</w:t>
      </w:r>
      <w:r w:rsidRPr="00C6580A">
        <w:rPr>
          <w:rStyle w:val="normaltextrun"/>
          <w:rFonts w:eastAsiaTheme="majorEastAsia"/>
          <w:b/>
          <w:bCs/>
          <w:color w:val="000000"/>
          <w:sz w:val="36"/>
          <w:szCs w:val="36"/>
        </w:rPr>
        <w:t xml:space="preserve">ÓPICOS </w:t>
      </w:r>
    </w:p>
    <w:p w14:paraId="6FD031AD" w14:textId="5ABE3C12"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210EBD59" w14:textId="77777777" w:rsidR="00C6580A" w:rsidRDefault="4ECFA37E" w:rsidP="00C6580A">
      <w:pPr>
        <w:pStyle w:val="paragraph"/>
        <w:spacing w:before="0" w:beforeAutospacing="0" w:after="0" w:afterAutospacing="0"/>
        <w:jc w:val="center"/>
        <w:textAlignment w:val="baseline"/>
        <w:rPr>
          <w:rStyle w:val="eop"/>
          <w:rFonts w:eastAsiaTheme="majorEastAsia"/>
          <w:color w:val="000000"/>
          <w:sz w:val="28"/>
          <w:szCs w:val="28"/>
        </w:rPr>
      </w:pPr>
      <w:r w:rsidRPr="4ECFA37E">
        <w:rPr>
          <w:rStyle w:val="normaltextrun"/>
          <w:rFonts w:eastAsiaTheme="majorEastAsia"/>
          <w:b/>
          <w:bCs/>
          <w:color w:val="000000" w:themeColor="text1"/>
          <w:sz w:val="28"/>
          <w:szCs w:val="28"/>
        </w:rPr>
        <w:t>PRESENTADO POR:</w:t>
      </w:r>
      <w:r w:rsidRPr="4ECFA37E">
        <w:rPr>
          <w:rStyle w:val="eop"/>
          <w:rFonts w:eastAsiaTheme="majorEastAsia"/>
          <w:color w:val="000000" w:themeColor="text1"/>
          <w:sz w:val="28"/>
          <w:szCs w:val="28"/>
        </w:rPr>
        <w:t> </w:t>
      </w:r>
    </w:p>
    <w:p w14:paraId="77EEEBDC" w14:textId="56CF757A" w:rsidR="00C6580A" w:rsidRPr="00C6580A" w:rsidRDefault="00C6580A" w:rsidP="00C6580A">
      <w:pPr>
        <w:pStyle w:val="paragraph"/>
        <w:spacing w:before="0" w:beforeAutospacing="0" w:after="0" w:afterAutospacing="0"/>
        <w:jc w:val="center"/>
        <w:textAlignment w:val="baseline"/>
        <w:rPr>
          <w:rStyle w:val="normaltextrun"/>
          <w:rFonts w:eastAsiaTheme="majorEastAsia"/>
          <w:color w:val="000000"/>
        </w:rPr>
      </w:pPr>
      <w:r w:rsidRPr="00C6580A">
        <w:rPr>
          <w:color w:val="000000"/>
        </w:rPr>
        <w:t>GOMEZ ARANDA ELISA MARISOL</w:t>
      </w:r>
    </w:p>
    <w:p w14:paraId="4514E0D6" w14:textId="2243B1DA" w:rsidR="00C6580A" w:rsidRDefault="00C6580A" w:rsidP="00C6580A">
      <w:pPr>
        <w:pStyle w:val="paragraph"/>
        <w:spacing w:before="0" w:beforeAutospacing="0" w:after="0" w:afterAutospacing="0"/>
        <w:jc w:val="center"/>
        <w:textAlignment w:val="baseline"/>
        <w:rPr>
          <w:color w:val="000000"/>
        </w:rPr>
      </w:pPr>
      <w:r w:rsidRPr="00C6580A">
        <w:rPr>
          <w:color w:val="000000"/>
        </w:rPr>
        <w:t>HERNANDEZ PICASSO ESTRELLA ESMERALD</w:t>
      </w:r>
      <w:r>
        <w:rPr>
          <w:color w:val="000000"/>
        </w:rPr>
        <w:t>A</w:t>
      </w:r>
    </w:p>
    <w:p w14:paraId="6A9E134E" w14:textId="77777777" w:rsidR="00C6580A" w:rsidRPr="00C6580A" w:rsidRDefault="00C6580A" w:rsidP="00C6580A">
      <w:pPr>
        <w:pStyle w:val="paragraph"/>
        <w:spacing w:before="0" w:beforeAutospacing="0" w:after="0" w:afterAutospacing="0"/>
        <w:jc w:val="center"/>
        <w:textAlignment w:val="baseline"/>
        <w:rPr>
          <w:rStyle w:val="eop"/>
          <w:rFonts w:eastAsiaTheme="majorEastAsia"/>
          <w:color w:val="000000"/>
        </w:rPr>
      </w:pPr>
      <w:r w:rsidRPr="00C6580A">
        <w:rPr>
          <w:rStyle w:val="normaltextrun"/>
          <w:rFonts w:eastAsiaTheme="majorEastAsia"/>
          <w:color w:val="000000"/>
        </w:rPr>
        <w:t>GENIS YARETZI RICO NUÑEZ #25</w:t>
      </w:r>
    </w:p>
    <w:p w14:paraId="7C018901" w14:textId="7650957F" w:rsidR="00C6580A" w:rsidRPr="00C6580A" w:rsidRDefault="00C6580A" w:rsidP="00C6580A">
      <w:pPr>
        <w:pStyle w:val="paragraph"/>
        <w:spacing w:before="0" w:beforeAutospacing="0" w:after="0" w:afterAutospacing="0"/>
        <w:jc w:val="center"/>
        <w:textAlignment w:val="baseline"/>
        <w:rPr>
          <w:color w:val="000000"/>
        </w:rPr>
      </w:pPr>
      <w:r w:rsidRPr="4737FB6D">
        <w:rPr>
          <w:color w:val="000000" w:themeColor="text1"/>
        </w:rPr>
        <w:t>ALLENDE MOLINA MARIA EVELIA</w:t>
      </w:r>
      <w:r w:rsidR="4737FB6D" w:rsidRPr="4737FB6D">
        <w:rPr>
          <w:color w:val="000000" w:themeColor="text1"/>
        </w:rPr>
        <w:t xml:space="preserve"> #3</w:t>
      </w:r>
    </w:p>
    <w:p w14:paraId="35B863F2" w14:textId="77DEFB39"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 xml:space="preserve">RAMIREZ RUIZ ALEXA </w:t>
      </w:r>
      <w:r w:rsidR="00CC39FF" w:rsidRPr="00C6580A">
        <w:rPr>
          <w:color w:val="000000"/>
        </w:rPr>
        <w:t>NEFTALÍ</w:t>
      </w:r>
      <w:r w:rsidR="00CC39FF">
        <w:rPr>
          <w:color w:val="000000"/>
        </w:rPr>
        <w:t>#22</w:t>
      </w:r>
    </w:p>
    <w:p w14:paraId="5C88BB4B" w14:textId="2836628A"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PINTOR GONZALEZ LESLIE BERENICE</w:t>
      </w:r>
    </w:p>
    <w:p w14:paraId="17103184" w14:textId="634844C1"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RESENDIZ FLORES YARETZI</w:t>
      </w:r>
    </w:p>
    <w:p w14:paraId="1372796D" w14:textId="583DD562" w:rsidR="00C6580A" w:rsidRPr="00C6580A" w:rsidRDefault="00C6580A" w:rsidP="00C6580A">
      <w:pPr>
        <w:pStyle w:val="paragraph"/>
        <w:spacing w:before="0" w:beforeAutospacing="0" w:after="0" w:afterAutospacing="0"/>
        <w:jc w:val="center"/>
        <w:textAlignment w:val="baseline"/>
        <w:rPr>
          <w:color w:val="000000"/>
        </w:rPr>
      </w:pPr>
      <w:r w:rsidRPr="245F5782">
        <w:rPr>
          <w:color w:val="000000" w:themeColor="text1"/>
        </w:rPr>
        <w:t>ORTIZ DE LA ROSA ABRIL ALEJANDRA</w:t>
      </w:r>
      <w:r w:rsidR="245F5782" w:rsidRPr="245F5782">
        <w:rPr>
          <w:color w:val="000000" w:themeColor="text1"/>
        </w:rPr>
        <w:t xml:space="preserve"> #19</w:t>
      </w:r>
    </w:p>
    <w:p w14:paraId="75410327" w14:textId="5A22F836"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RODRIGUEZ BRIONES DEBANIE GUADALUPE</w:t>
      </w:r>
    </w:p>
    <w:p w14:paraId="2ED30249" w14:textId="700B6DA7"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LUIS MARTINEZ MARIA FERNANDA</w:t>
      </w:r>
    </w:p>
    <w:p w14:paraId="2B63EE5C" w14:textId="6C2EF32E"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ZUÑIGA MEZA JOCELYN GUADALUPE</w:t>
      </w:r>
    </w:p>
    <w:p w14:paraId="70EC38AA" w14:textId="5C34F009" w:rsidR="00C6580A" w:rsidRPr="00C6580A" w:rsidRDefault="00C6580A" w:rsidP="00C6580A">
      <w:pPr>
        <w:pStyle w:val="paragraph"/>
        <w:spacing w:before="0" w:beforeAutospacing="0" w:after="0" w:afterAutospacing="0"/>
        <w:jc w:val="center"/>
        <w:textAlignment w:val="baseline"/>
        <w:rPr>
          <w:rFonts w:eastAsiaTheme="majorEastAsia"/>
          <w:color w:val="000000"/>
        </w:rPr>
      </w:pPr>
      <w:r w:rsidRPr="00C6580A">
        <w:rPr>
          <w:color w:val="000000"/>
        </w:rPr>
        <w:t>HERNANDEZ GONZALEZ MELISSA GUADALUPE</w:t>
      </w:r>
    </w:p>
    <w:p w14:paraId="3146C2C0" w14:textId="77777777" w:rsidR="00C6580A" w:rsidRDefault="00C6580A" w:rsidP="00C6580A">
      <w:pPr>
        <w:pStyle w:val="paragraph"/>
        <w:spacing w:before="0" w:beforeAutospacing="0" w:after="0" w:afterAutospacing="0"/>
        <w:jc w:val="center"/>
        <w:textAlignment w:val="baseline"/>
        <w:rPr>
          <w:rStyle w:val="eop"/>
          <w:rFonts w:eastAsiaTheme="majorEastAsia"/>
          <w:color w:val="000000"/>
          <w:sz w:val="32"/>
          <w:szCs w:val="32"/>
        </w:rPr>
      </w:pPr>
      <w:r w:rsidRPr="00C6580A">
        <w:rPr>
          <w:rStyle w:val="normaltextrun"/>
          <w:rFonts w:eastAsiaTheme="majorEastAsia"/>
          <w:b/>
          <w:bCs/>
          <w:color w:val="000000"/>
          <w:sz w:val="32"/>
          <w:szCs w:val="32"/>
        </w:rPr>
        <w:t>CURSO: </w:t>
      </w:r>
      <w:r>
        <w:rPr>
          <w:rStyle w:val="eop"/>
          <w:rFonts w:eastAsiaTheme="majorEastAsia"/>
          <w:color w:val="000000"/>
          <w:sz w:val="32"/>
          <w:szCs w:val="32"/>
        </w:rPr>
        <w:t> </w:t>
      </w:r>
    </w:p>
    <w:p w14:paraId="19492FC8" w14:textId="43853E8A" w:rsidR="00C6580A" w:rsidRDefault="00C6580A" w:rsidP="00C6580A">
      <w:pPr>
        <w:pStyle w:val="paragraph"/>
        <w:spacing w:before="0" w:beforeAutospacing="0" w:after="0" w:afterAutospacing="0"/>
        <w:jc w:val="center"/>
        <w:textAlignment w:val="baseline"/>
        <w:rPr>
          <w:color w:val="000000"/>
        </w:rPr>
      </w:pPr>
      <w:r w:rsidRPr="00C6580A">
        <w:rPr>
          <w:color w:val="000000"/>
        </w:rPr>
        <w:t>INTERCULTURALIDAD CRÍTICA Y ATENCIÓN DE LA DIVERSIDAD</w:t>
      </w:r>
    </w:p>
    <w:p w14:paraId="148E9DFA" w14:textId="593BDD7F" w:rsidR="00C6580A" w:rsidRPr="00C6580A" w:rsidRDefault="00C6580A" w:rsidP="00C6580A">
      <w:pPr>
        <w:pStyle w:val="paragraph"/>
        <w:spacing w:before="0" w:beforeAutospacing="0" w:after="0" w:afterAutospacing="0"/>
        <w:jc w:val="center"/>
        <w:textAlignment w:val="baseline"/>
        <w:rPr>
          <w:b/>
          <w:bCs/>
          <w:color w:val="000000"/>
          <w:sz w:val="28"/>
          <w:szCs w:val="28"/>
        </w:rPr>
      </w:pPr>
      <w:r w:rsidRPr="00C6580A">
        <w:rPr>
          <w:b/>
          <w:bCs/>
          <w:color w:val="000000"/>
          <w:sz w:val="28"/>
          <w:szCs w:val="28"/>
        </w:rPr>
        <w:t>DOCENTE:</w:t>
      </w:r>
    </w:p>
    <w:p w14:paraId="571A01B2" w14:textId="50F82FE4"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GRACIANO MONTOYA HOYOS</w:t>
      </w:r>
    </w:p>
    <w:p w14:paraId="02AA164C"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52260D38"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28"/>
          <w:szCs w:val="28"/>
        </w:rPr>
        <w:t>DOMINIO DEL PREFIL DE EGRESO:</w:t>
      </w:r>
      <w:r>
        <w:rPr>
          <w:rStyle w:val="eop"/>
          <w:rFonts w:eastAsiaTheme="majorEastAsia"/>
          <w:color w:val="000000"/>
          <w:sz w:val="28"/>
          <w:szCs w:val="28"/>
        </w:rPr>
        <w:t> </w:t>
      </w:r>
    </w:p>
    <w:p w14:paraId="18D5EC40"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61D501A1" w14:textId="77777777" w:rsidR="00C6580A" w:rsidRDefault="00C6580A" w:rsidP="00C6580A">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Theme="majorEastAsia"/>
          <w:color w:val="000000"/>
        </w:rPr>
        <w:t> </w:t>
      </w:r>
    </w:p>
    <w:p w14:paraId="43AC6809" w14:textId="60D11113" w:rsidR="00C6580A" w:rsidRDefault="00C6580A" w:rsidP="00C6580A">
      <w:pPr>
        <w:pStyle w:val="paragraph"/>
        <w:spacing w:before="0" w:beforeAutospacing="0" w:after="0" w:afterAutospacing="0"/>
        <w:textAlignment w:val="baseline"/>
        <w:rPr>
          <w:rStyle w:val="normaltextrun"/>
          <w:rFonts w:eastAsiaTheme="majorEastAsia"/>
          <w:b/>
          <w:bCs/>
          <w:color w:val="000000"/>
        </w:rPr>
      </w:pPr>
      <w:r w:rsidRPr="00C6580A">
        <w:rPr>
          <w:rStyle w:val="normaltextrun"/>
          <w:rFonts w:eastAsiaTheme="majorEastAsia"/>
          <w:b/>
          <w:bCs/>
          <w:color w:val="000000"/>
        </w:rPr>
        <w:t>SALTILLO, COAHUILA DE ZARA</w:t>
      </w:r>
      <w:r>
        <w:rPr>
          <w:rStyle w:val="normaltextrun"/>
          <w:rFonts w:eastAsiaTheme="majorEastAsia"/>
          <w:b/>
          <w:bCs/>
          <w:color w:val="000000"/>
        </w:rPr>
        <w:t xml:space="preserve">GOZA </w:t>
      </w:r>
    </w:p>
    <w:p w14:paraId="50B1910F" w14:textId="771E78EE" w:rsidR="00C6580A" w:rsidRDefault="00C6580A" w:rsidP="00C6580A">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eastAsiaTheme="majorEastAsia"/>
          <w:b/>
          <w:bCs/>
          <w:color w:val="000000"/>
        </w:rPr>
        <w:t xml:space="preserve">MAYO 2024 </w:t>
      </w:r>
    </w:p>
    <w:p w14:paraId="407E46E9" w14:textId="77777777" w:rsidR="00C6580A" w:rsidRDefault="00C6580A">
      <w:pPr>
        <w:rPr>
          <w:rFonts w:ascii="Verdana" w:hAnsi="Verdana"/>
          <w:color w:val="000000"/>
        </w:rPr>
      </w:pPr>
    </w:p>
    <w:p w14:paraId="3FB53322" w14:textId="77777777" w:rsidR="00C6580A" w:rsidRDefault="00C6580A">
      <w:pPr>
        <w:rPr>
          <w:rFonts w:ascii="Verdana" w:hAnsi="Verdana"/>
          <w:color w:val="000000"/>
        </w:rPr>
      </w:pPr>
    </w:p>
    <w:p w14:paraId="11E959CC" w14:textId="56E89111" w:rsidR="75AADAB1" w:rsidRDefault="245F5782" w:rsidP="75AADAB1">
      <w:pPr>
        <w:spacing w:line="360" w:lineRule="auto"/>
        <w:jc w:val="center"/>
        <w:rPr>
          <w:rFonts w:ascii="Times New Roman" w:eastAsia="Times New Roman" w:hAnsi="Times New Roman" w:cs="Times New Roman"/>
          <w:color w:val="000000" w:themeColor="text1"/>
        </w:rPr>
      </w:pPr>
      <w:r w:rsidRPr="245F5782">
        <w:rPr>
          <w:rFonts w:ascii="Times New Roman" w:eastAsia="Times New Roman" w:hAnsi="Times New Roman" w:cs="Times New Roman"/>
          <w:color w:val="000000" w:themeColor="text1"/>
        </w:rPr>
        <w:lastRenderedPageBreak/>
        <w:t xml:space="preserve">Introducción </w:t>
      </w:r>
    </w:p>
    <w:p w14:paraId="0D72238F" w14:textId="32481369"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Las políticas interculturales y las propuestas de interculturalidad crítica se han convertido en temas esenciales para abordar la atención de la diversidad y la erradicación de relaciones asimétricas de poder que perpetúan la inequidad y la injusticia. Las políticas interculturales, en su enfoque tradicional, tienden a promover el reconocimiento y la celebración de la diversidad cultural dentro de un marco inclusivo, pero a menudo superficial. En contraste, la interculturalidad crítica busca no solo reconocer la diversidad, sino también cuestionar y transformar las estructuras de poder que generan desigualdades, impulsando cambios profundos en las relaciones sociales y educativas.</w:t>
      </w:r>
    </w:p>
    <w:p w14:paraId="43761E5D" w14:textId="09122091"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En este contexto, la escuela emerge como una comunidad de aprendizaje fundamental que opera tanto bajo las políticas educativas internacionales y nacionales como en función de su entorno específico. El rol de la escuela no se limita a ser un espacio de instrucción académica, sino que se extiende a ser un agente de cambio social que, contextualizándose en su entorno ya sea barrio, comunidad, colonia o pueblo, contribuye a la construcción de una sociedad más justa y equitativa.</w:t>
      </w:r>
    </w:p>
    <w:p w14:paraId="0DEECCA1" w14:textId="2F13C767"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La función docente es crucial en este proceso de transformación. Los docentes no solo transmiten conocimientos, sino que también facilitan el desarrollo de una conciencia crítica en los estudiantes, impulsando prácticas pedagógicas que fomenten la inclusión y la equidad. Este rol se torna más significativo cuando se considera la necesidad de contextualizar la interculturalidad, adaptando las metodologías y contenidos educativos a las realidades específicas de las comunidades en las que las escuelas están inmersas.</w:t>
      </w:r>
    </w:p>
    <w:p w14:paraId="54CEB490" w14:textId="676A0017"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Uno de los principales desafíos para el desarrollo de escuelas interculturales, inclusivas y equitativas es la integración efectiva de la familia, la escuela y la comunidad en los procesos educativos. La participación de estos actores es esencial para crear un entorno que apoye el desarrollo integral de los estudiantes y promueva la inclusión en todos los niveles.</w:t>
      </w:r>
    </w:p>
    <w:p w14:paraId="2A0E2555" w14:textId="2C688909"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Para analizar estas dinámicas, es necesario distinguir las diversas categorías, variables y elementos implicados en el proceso educativo intercultural. Estos incluyen, entre otros, las políticas educativas, las prácticas pedagógicas, las estructuras de poder, los contextos socioculturales y económicos, y los roles de los diferentes actores involucrados (docentes, estudiantes, familias y comunidades).</w:t>
      </w:r>
    </w:p>
    <w:p w14:paraId="6F4B5C6C" w14:textId="170CF62E"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Cada categoría y variables posee características específicas que deben examinarse en varios niveles de análisis. Por ejemplo, las políticas educativas pueden ser analizadas a nivel macro (internacional y nacional) y micro (local y escolar), para entender cómo las directrices globales se traducen en prácticas concretas dentro de las aulas. Asimismo, las interacciones entre estas categorías y variables deben ser constantemente cuestionadas para identificar y desafiar las dinámicas de poder que perpetúan la exclusión y la inequidad.</w:t>
      </w:r>
    </w:p>
    <w:p w14:paraId="17ACD601" w14:textId="4B62C318" w:rsidR="245F5782" w:rsidRDefault="245F5782" w:rsidP="245F5782">
      <w:pPr>
        <w:spacing w:line="360" w:lineRule="auto"/>
        <w:jc w:val="center"/>
        <w:rPr>
          <w:rFonts w:ascii="Times New Roman" w:eastAsia="Times New Roman" w:hAnsi="Times New Roman" w:cs="Times New Roman"/>
          <w:color w:val="000000" w:themeColor="text1"/>
        </w:rPr>
      </w:pPr>
    </w:p>
    <w:p w14:paraId="0825ADF0" w14:textId="4DE229E1" w:rsidR="00C6580A" w:rsidRDefault="4C38B516" w:rsidP="4C38B516">
      <w:pPr>
        <w:spacing w:line="360" w:lineRule="auto"/>
        <w:jc w:val="center"/>
        <w:rPr>
          <w:rFonts w:ascii="Times New Roman" w:eastAsia="Times New Roman" w:hAnsi="Times New Roman" w:cs="Times New Roman"/>
          <w:color w:val="000000" w:themeColor="text1"/>
        </w:rPr>
      </w:pPr>
      <w:r w:rsidRPr="4C38B516">
        <w:rPr>
          <w:rFonts w:ascii="Times New Roman" w:eastAsia="Times New Roman" w:hAnsi="Times New Roman" w:cs="Times New Roman"/>
          <w:color w:val="000000" w:themeColor="text1"/>
        </w:rPr>
        <w:lastRenderedPageBreak/>
        <w:t>Elabora las respuestas argumentadas en el que integre las ideas de los siguientes tópicos de los anteriores documentos de consulta.</w:t>
      </w:r>
      <w:r w:rsidR="00C6580A">
        <w:br/>
      </w:r>
      <w:r w:rsidR="00C6580A">
        <w:br/>
      </w:r>
      <w:r w:rsidRPr="4C38B516">
        <w:rPr>
          <w:rFonts w:ascii="Times New Roman" w:eastAsia="Times New Roman" w:hAnsi="Times New Roman" w:cs="Times New Roman"/>
          <w:color w:val="000000" w:themeColor="text1"/>
        </w:rPr>
        <w:t>Tópicos:</w:t>
      </w:r>
      <w:r w:rsidR="00C6580A">
        <w:br/>
      </w:r>
      <w:r w:rsidRPr="4C38B516">
        <w:rPr>
          <w:rFonts w:ascii="Times New Roman" w:eastAsia="Times New Roman" w:hAnsi="Times New Roman" w:cs="Times New Roman"/>
          <w:b/>
          <w:bCs/>
          <w:color w:val="000000" w:themeColor="text1"/>
        </w:rPr>
        <w:t>1. - Diferencias entre las políticas interculturales sobre la atención de la</w:t>
      </w:r>
      <w:r w:rsidR="00C6580A">
        <w:br/>
      </w:r>
      <w:r w:rsidRPr="4C38B516">
        <w:rPr>
          <w:rFonts w:ascii="Times New Roman" w:eastAsia="Times New Roman" w:hAnsi="Times New Roman" w:cs="Times New Roman"/>
          <w:b/>
          <w:bCs/>
          <w:color w:val="000000" w:themeColor="text1"/>
        </w:rPr>
        <w:t>diversidad en contraste con las propuestas de interculturalidad crítica</w:t>
      </w:r>
      <w:r w:rsidR="00C6580A">
        <w:br/>
      </w:r>
      <w:r w:rsidRPr="4C38B516">
        <w:rPr>
          <w:rFonts w:ascii="Times New Roman" w:eastAsia="Times New Roman" w:hAnsi="Times New Roman" w:cs="Times New Roman"/>
          <w:b/>
          <w:bCs/>
          <w:color w:val="000000" w:themeColor="text1"/>
        </w:rPr>
        <w:t>que contribuyan con la erradicación de relaciones asimétricas de poder</w:t>
      </w:r>
      <w:r w:rsidR="00C6580A">
        <w:br/>
      </w:r>
      <w:r w:rsidRPr="4C38B516">
        <w:rPr>
          <w:rFonts w:ascii="Times New Roman" w:eastAsia="Times New Roman" w:hAnsi="Times New Roman" w:cs="Times New Roman"/>
          <w:b/>
          <w:bCs/>
          <w:color w:val="000000" w:themeColor="text1"/>
        </w:rPr>
        <w:t>que generan inequidad e injusticia.</w:t>
      </w:r>
    </w:p>
    <w:p w14:paraId="0D227AFF" w14:textId="6CCF5BC2"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La política intercultural tradicional se centra en la integración y el reconocimiento de la diversidad cultural. Esta política se basa en el respeto y la tolerancia de las diferencias culturales y se refleja en programas educativos y sociales que promueven la convivencia pacífica de diferentes culturas. Un claro ejemplo de esta política es la inclusión de contenidos multiculturales en los planes de estudios, la formación del personal en competencias interculturales y la prestación de servicios en varios idiomas.</w:t>
      </w:r>
    </w:p>
    <w:p w14:paraId="7B41639F" w14:textId="61C71BA1"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 xml:space="preserve">Por el contrario, un enfoque intercultural crítico ofrece un enfoque más profundo y transformador. Esta perspectiva no sólo reconoce la diversidad cultural, sino que también cuestiona y desafía las relaciones de poder asimétricas que existen entre culturas. El compromiso intercultural crítico tiene como objetivo comprender y deconstruir estructuras de dominación y opresión y promover cambios en las instituciones y normas sociales para abordar la discriminación y la desigualdad sistémicas. La interacción intercultural crítica fomenta el diálogo genuino y la participación activa en la toma de decisiones de todas las culturas, permitiendo a las comunidades marginadas participar plenamente en la sociedad como agentes de cambio en lugar de meros receptores de políticas. Además, este enfoque enfatiza la educación emancipadora, promoviendo el pensamiento crítico y la comprensión </w:t>
      </w:r>
      <w:r w:rsidRPr="4737FB6D">
        <w:rPr>
          <w:rFonts w:ascii="Times New Roman" w:eastAsia="Times New Roman" w:hAnsi="Times New Roman" w:cs="Times New Roman"/>
        </w:rPr>
        <w:lastRenderedPageBreak/>
        <w:t>de las estructuras de poder y la opresión, en lugar de simplemente incorporar contenidos diversos al plan de estudios. Contraste y contribución</w:t>
      </w:r>
    </w:p>
    <w:p w14:paraId="07473274" w14:textId="62A56160"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La diferencia esencial entre la política intercultural tradicional y las propuestas interculturales críticas reside en sus objetivos y métodos. Mientras que la política intercultural lucha por la coexistencia pacífica y el reconocimiento de la diversidad, el interculturalismo crítico busca transformar las relaciones de poder y abordar la desigualdad y la injusticia. En lugar de adoptar un enfoque integrador y tolerante, el interculturalismo crítico cuestiona las estructuras de poder existentes y promueve un cambio social profundo.</w:t>
      </w:r>
    </w:p>
    <w:p w14:paraId="0387D151" w14:textId="5397850E" w:rsidR="00C6580A" w:rsidRDefault="00C6580A" w:rsidP="00E70964">
      <w:pPr>
        <w:spacing w:line="360" w:lineRule="auto"/>
        <w:jc w:val="center"/>
        <w:rPr>
          <w:rFonts w:ascii="Times New Roman" w:eastAsia="Times New Roman" w:hAnsi="Times New Roman" w:cs="Times New Roman"/>
          <w:color w:val="000000" w:themeColor="text1"/>
        </w:rPr>
      </w:pPr>
      <w:r>
        <w:br/>
      </w:r>
      <w:r w:rsidR="4C38B516" w:rsidRPr="4C38B516">
        <w:rPr>
          <w:rFonts w:ascii="Times New Roman" w:eastAsia="Times New Roman" w:hAnsi="Times New Roman" w:cs="Times New Roman"/>
          <w:b/>
          <w:bCs/>
          <w:color w:val="000000" w:themeColor="text1"/>
        </w:rPr>
        <w:t>2. El rol de la escuela como comunidad de aprendizaje en función a su</w:t>
      </w:r>
      <w:r>
        <w:br/>
      </w:r>
      <w:r w:rsidR="4C38B516" w:rsidRPr="4C38B516">
        <w:rPr>
          <w:rFonts w:ascii="Times New Roman" w:eastAsia="Times New Roman" w:hAnsi="Times New Roman" w:cs="Times New Roman"/>
          <w:b/>
          <w:bCs/>
          <w:color w:val="000000" w:themeColor="text1"/>
        </w:rPr>
        <w:t>contexto y de la política educativa internacional y nacional.</w:t>
      </w:r>
    </w:p>
    <w:p w14:paraId="4BB3C1A6" w14:textId="05E9C411" w:rsidR="00C6580A" w:rsidRDefault="4ECFA37E" w:rsidP="001C6140">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 xml:space="preserve">Las familias colaboran en la escuela a partir de la petición de las autoridades escolares que, a su vez, tienen la responsabilidad de conducir y diseñar las principales líneas de acción de la institución educativa. </w:t>
      </w:r>
      <w:bookmarkStart w:id="0" w:name="_Int_TCNzmSwX"/>
      <w:r w:rsidRPr="4ECFA37E">
        <w:rPr>
          <w:rFonts w:ascii="Times New Roman" w:eastAsia="Times New Roman" w:hAnsi="Times New Roman" w:cs="Times New Roman"/>
        </w:rPr>
        <w:t>Dentro de esas fronteras se busca estructurar contenidos escolares concebidos con carácter universal, es decir, válidos y necesarios para todos los habitantes, que tenían por objetivo central la formación de una ciudadanía que adquiriese valores democráticos y nacionales, teniendo en cuenta a toda la población.</w:t>
      </w:r>
      <w:bookmarkEnd w:id="0"/>
    </w:p>
    <w:p w14:paraId="29122821" w14:textId="53A49A2C" w:rsidR="00C6580A" w:rsidRDefault="4ECFA37E" w:rsidP="4ECFA37E">
      <w:pPr>
        <w:spacing w:line="360" w:lineRule="auto"/>
        <w:rPr>
          <w:rFonts w:ascii="Times New Roman" w:eastAsia="Times New Roman" w:hAnsi="Times New Roman" w:cs="Times New Roman"/>
        </w:rPr>
      </w:pPr>
      <w:r w:rsidRPr="4ECFA37E">
        <w:rPr>
          <w:rFonts w:ascii="Times New Roman" w:eastAsia="Times New Roman" w:hAnsi="Times New Roman" w:cs="Times New Roman"/>
        </w:rPr>
        <w:t>¿LA ESCUELA Y LA COMUNIDAD O LA ESCUELA EN LA COMUNIDAD?</w:t>
      </w:r>
    </w:p>
    <w:p w14:paraId="04E63434" w14:textId="4288C1CE" w:rsidR="00C6580A" w:rsidRDefault="4ECFA37E" w:rsidP="001C6140">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“Cuando los integrantes de las organizaciones educativas comprenden la necesidad de conectarse con los diversos sectores y grupos del colectivo social, comienzan a plantearse la relación entre la escuela y la comunidad. Es interesante pensar el uso de esta conjunción desde un paradigma que concibe a las instituciones y las organizaciones como afuera de. Surge entonces la pregunta: ¿en qué espacio se concibe a la escuela si no es en la misma comunidad?” Elina Dabas, Redes sociales, familias y escuela, pág. 57.</w:t>
      </w:r>
    </w:p>
    <w:p w14:paraId="0389128D" w14:textId="77777777" w:rsidR="00EF221B" w:rsidRDefault="4ECFA37E" w:rsidP="00EF221B">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Por todo lo anterior, el rol de la escuela como comunidad de aprendizaje es muy importante, ya que en ella se les enseñara según su contexto más inmediato, que es su comunidad para que así se puedan adquirir los aprendizajes más significativos.</w:t>
      </w:r>
    </w:p>
    <w:p w14:paraId="7967EBAF" w14:textId="639641E7" w:rsidR="557EC597" w:rsidRPr="00EF221B" w:rsidRDefault="2A55078F" w:rsidP="00EF221B">
      <w:pPr>
        <w:spacing w:line="360" w:lineRule="auto"/>
        <w:jc w:val="center"/>
        <w:rPr>
          <w:rFonts w:ascii="Times New Roman" w:eastAsia="Times New Roman" w:hAnsi="Times New Roman" w:cs="Times New Roman"/>
        </w:rPr>
      </w:pPr>
      <w:r w:rsidRPr="2A55078F">
        <w:rPr>
          <w:rFonts w:ascii="Times New Roman" w:eastAsia="Times New Roman" w:hAnsi="Times New Roman" w:cs="Times New Roman"/>
          <w:b/>
          <w:bCs/>
          <w:color w:val="000000" w:themeColor="text1"/>
        </w:rPr>
        <w:lastRenderedPageBreak/>
        <w:t>3.- La función docente en el impulso de la transformación</w:t>
      </w:r>
    </w:p>
    <w:p w14:paraId="1D44332E" w14:textId="5DD764C9" w:rsidR="557EC597" w:rsidRDefault="001C6140" w:rsidP="001C614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w:t>
      </w:r>
      <w:r w:rsidR="2A55078F" w:rsidRPr="18D83D1B">
        <w:rPr>
          <w:rFonts w:ascii="Times New Roman" w:eastAsia="Times New Roman" w:hAnsi="Times New Roman" w:cs="Times New Roman"/>
        </w:rPr>
        <w:t>tópico de la educación es de gran importancia, muchas veces se escuchan críticas negativas y positivas de igual manera, pues en el país se cuenta con cierta deficiencia en cuestión de educación.</w:t>
      </w:r>
    </w:p>
    <w:p w14:paraId="23629A77" w14:textId="733DD9F9" w:rsidR="557EC597" w:rsidRDefault="2A55078F" w:rsidP="001C6140">
      <w:pPr>
        <w:spacing w:line="360" w:lineRule="auto"/>
        <w:jc w:val="both"/>
        <w:rPr>
          <w:rFonts w:ascii="Times New Roman" w:eastAsia="Times New Roman" w:hAnsi="Times New Roman" w:cs="Times New Roman"/>
          <w:color w:val="000000" w:themeColor="text1"/>
        </w:rPr>
      </w:pPr>
      <w:r w:rsidRPr="18D83D1B">
        <w:rPr>
          <w:rFonts w:ascii="Times New Roman" w:eastAsia="Times New Roman" w:hAnsi="Times New Roman" w:cs="Times New Roman"/>
          <w:color w:val="000000" w:themeColor="text1"/>
        </w:rPr>
        <w:t xml:space="preserve">Se debe </w:t>
      </w:r>
      <w:r w:rsidR="18D83D1B" w:rsidRPr="18D83D1B">
        <w:rPr>
          <w:rFonts w:ascii="Times New Roman" w:eastAsia="Times New Roman" w:hAnsi="Times New Roman" w:cs="Times New Roman"/>
          <w:color w:val="000000" w:themeColor="text1"/>
        </w:rPr>
        <w:t>entender</w:t>
      </w:r>
      <w:r w:rsidRPr="18D83D1B">
        <w:rPr>
          <w:rFonts w:ascii="Times New Roman" w:eastAsia="Times New Roman" w:hAnsi="Times New Roman" w:cs="Times New Roman"/>
          <w:color w:val="000000" w:themeColor="text1"/>
        </w:rPr>
        <w:t xml:space="preserve"> que el docente no es </w:t>
      </w:r>
      <w:r w:rsidR="18D83D1B" w:rsidRPr="18D83D1B">
        <w:rPr>
          <w:rFonts w:ascii="Times New Roman" w:eastAsia="Times New Roman" w:hAnsi="Times New Roman" w:cs="Times New Roman"/>
          <w:color w:val="000000" w:themeColor="text1"/>
        </w:rPr>
        <w:t>solo</w:t>
      </w:r>
      <w:r w:rsidRPr="18D83D1B">
        <w:rPr>
          <w:rFonts w:ascii="Times New Roman" w:eastAsia="Times New Roman" w:hAnsi="Times New Roman" w:cs="Times New Roman"/>
          <w:color w:val="000000" w:themeColor="text1"/>
        </w:rPr>
        <w:t xml:space="preserve"> un transmisor de conocimientos, sino que es un agente socializador y que, con su práctica docente</w:t>
      </w:r>
      <w:r w:rsidR="18D83D1B" w:rsidRPr="18D83D1B">
        <w:rPr>
          <w:rFonts w:ascii="Times New Roman" w:eastAsia="Times New Roman" w:hAnsi="Times New Roman" w:cs="Times New Roman"/>
          <w:color w:val="000000" w:themeColor="text1"/>
        </w:rPr>
        <w:t>,</w:t>
      </w:r>
      <w:r w:rsidRPr="18D83D1B">
        <w:rPr>
          <w:rFonts w:ascii="Times New Roman" w:eastAsia="Times New Roman" w:hAnsi="Times New Roman" w:cs="Times New Roman"/>
          <w:color w:val="000000" w:themeColor="text1"/>
        </w:rPr>
        <w:t xml:space="preserve"> transmite valores que </w:t>
      </w:r>
      <w:r w:rsidR="18D83D1B" w:rsidRPr="18D83D1B">
        <w:rPr>
          <w:rFonts w:ascii="Times New Roman" w:eastAsia="Times New Roman" w:hAnsi="Times New Roman" w:cs="Times New Roman"/>
          <w:color w:val="000000" w:themeColor="text1"/>
        </w:rPr>
        <w:t>influirán</w:t>
      </w:r>
      <w:r w:rsidRPr="18D83D1B">
        <w:rPr>
          <w:rFonts w:ascii="Times New Roman" w:eastAsia="Times New Roman" w:hAnsi="Times New Roman" w:cs="Times New Roman"/>
          <w:color w:val="000000" w:themeColor="text1"/>
        </w:rPr>
        <w:t xml:space="preserve"> directa o indirectamente en la formación de los nuevos sujetos que el mundo demanda.</w:t>
      </w:r>
    </w:p>
    <w:p w14:paraId="5E56D038" w14:textId="24D5711E" w:rsidR="557EC597" w:rsidRDefault="18D83D1B" w:rsidP="001C6140">
      <w:pPr>
        <w:spacing w:line="360" w:lineRule="auto"/>
        <w:jc w:val="both"/>
        <w:rPr>
          <w:rFonts w:ascii="Times New Roman" w:eastAsia="Times New Roman" w:hAnsi="Times New Roman" w:cs="Times New Roman"/>
          <w:color w:val="000000" w:themeColor="text1"/>
        </w:rPr>
      </w:pPr>
      <w:r w:rsidRPr="18D83D1B">
        <w:rPr>
          <w:rFonts w:ascii="Times New Roman" w:eastAsia="Times New Roman" w:hAnsi="Times New Roman" w:cs="Times New Roman"/>
          <w:color w:val="000000" w:themeColor="text1"/>
        </w:rPr>
        <w:t>Los</w:t>
      </w:r>
      <w:r w:rsidR="2A55078F" w:rsidRPr="18D83D1B">
        <w:rPr>
          <w:rFonts w:ascii="Times New Roman" w:eastAsia="Times New Roman" w:hAnsi="Times New Roman" w:cs="Times New Roman"/>
          <w:color w:val="000000" w:themeColor="text1"/>
        </w:rPr>
        <w:t xml:space="preserve"> docentes </w:t>
      </w:r>
      <w:r w:rsidRPr="18D83D1B">
        <w:rPr>
          <w:rFonts w:ascii="Times New Roman" w:eastAsia="Times New Roman" w:hAnsi="Times New Roman" w:cs="Times New Roman"/>
          <w:color w:val="000000" w:themeColor="text1"/>
        </w:rPr>
        <w:t xml:space="preserve">deben </w:t>
      </w:r>
      <w:r w:rsidR="2A55078F" w:rsidRPr="18D83D1B">
        <w:rPr>
          <w:rFonts w:ascii="Times New Roman" w:eastAsia="Times New Roman" w:hAnsi="Times New Roman" w:cs="Times New Roman"/>
          <w:color w:val="000000" w:themeColor="text1"/>
        </w:rPr>
        <w:t xml:space="preserve">crear estrategias pedagógicas </w:t>
      </w:r>
      <w:r w:rsidRPr="18D83D1B">
        <w:rPr>
          <w:rFonts w:ascii="Times New Roman" w:eastAsia="Times New Roman" w:hAnsi="Times New Roman" w:cs="Times New Roman"/>
          <w:color w:val="000000" w:themeColor="text1"/>
        </w:rPr>
        <w:t xml:space="preserve">para que </w:t>
      </w:r>
      <w:r w:rsidR="2A55078F" w:rsidRPr="18D83D1B">
        <w:rPr>
          <w:rFonts w:ascii="Times New Roman" w:eastAsia="Times New Roman" w:hAnsi="Times New Roman" w:cs="Times New Roman"/>
          <w:color w:val="000000" w:themeColor="text1"/>
        </w:rPr>
        <w:t xml:space="preserve">los alumnos </w:t>
      </w:r>
      <w:r w:rsidRPr="18D83D1B">
        <w:rPr>
          <w:rFonts w:ascii="Times New Roman" w:eastAsia="Times New Roman" w:hAnsi="Times New Roman" w:cs="Times New Roman"/>
          <w:color w:val="000000" w:themeColor="text1"/>
        </w:rPr>
        <w:t>aprendan</w:t>
      </w:r>
      <w:r w:rsidR="2A55078F" w:rsidRPr="18D83D1B">
        <w:rPr>
          <w:rFonts w:ascii="Times New Roman" w:eastAsia="Times New Roman" w:hAnsi="Times New Roman" w:cs="Times New Roman"/>
          <w:color w:val="000000" w:themeColor="text1"/>
        </w:rPr>
        <w:t xml:space="preserve"> y a su vez las competencias necesarias para su correcto desarrollo. Se pretende que los estudiantes </w:t>
      </w:r>
      <w:r w:rsidR="67400557" w:rsidRPr="67400557">
        <w:rPr>
          <w:rFonts w:ascii="Times New Roman" w:eastAsia="Times New Roman" w:hAnsi="Times New Roman" w:cs="Times New Roman"/>
          <w:color w:val="000000" w:themeColor="text1"/>
        </w:rPr>
        <w:t>aprenden mediante</w:t>
      </w:r>
      <w:r w:rsidR="2A55078F" w:rsidRPr="18D83D1B">
        <w:rPr>
          <w:rFonts w:ascii="Times New Roman" w:eastAsia="Times New Roman" w:hAnsi="Times New Roman" w:cs="Times New Roman"/>
          <w:color w:val="000000" w:themeColor="text1"/>
        </w:rPr>
        <w:t xml:space="preserve"> sus experiencias desarrollando el contacto social, para que interioricen y asimilen lo vivido logrando un conocimiento.</w:t>
      </w:r>
    </w:p>
    <w:p w14:paraId="46E5ADB4" w14:textId="77777777" w:rsidR="00096037" w:rsidRDefault="2D831872" w:rsidP="001C6140">
      <w:pPr>
        <w:spacing w:line="360" w:lineRule="auto"/>
        <w:jc w:val="both"/>
        <w:rPr>
          <w:rFonts w:ascii="Times New Roman" w:eastAsia="Times New Roman" w:hAnsi="Times New Roman" w:cs="Times New Roman"/>
          <w:b/>
          <w:bCs/>
          <w:color w:val="000000" w:themeColor="text1"/>
        </w:rPr>
      </w:pPr>
      <w:r w:rsidRPr="67400557">
        <w:rPr>
          <w:rFonts w:ascii="Times New Roman" w:eastAsia="Times New Roman" w:hAnsi="Times New Roman" w:cs="Times New Roman"/>
          <w:color w:val="000000" w:themeColor="text1"/>
        </w:rPr>
        <w:t xml:space="preserve">A mediados del siglo XIX se empezó a producir un tránsito de la visión religiosa a una perspectiva profesional. La función docente que hoy conocemos, sobre todo a nivel básico, se ha convertido en una actividad fundamental para el Estado, responsable del funcionamiento del sistema educativo y para un número considerable de </w:t>
      </w:r>
      <w:r w:rsidR="67400557" w:rsidRPr="67400557">
        <w:rPr>
          <w:rFonts w:ascii="Times New Roman" w:eastAsia="Times New Roman" w:hAnsi="Times New Roman" w:cs="Times New Roman"/>
          <w:color w:val="000000" w:themeColor="text1"/>
        </w:rPr>
        <w:t>sujetos.</w:t>
      </w:r>
      <w:r w:rsidRPr="67400557">
        <w:rPr>
          <w:rFonts w:ascii="Times New Roman" w:eastAsia="Times New Roman" w:hAnsi="Times New Roman" w:cs="Times New Roman"/>
          <w:color w:val="000000" w:themeColor="text1"/>
        </w:rPr>
        <w:t xml:space="preserve"> Debido a lo anterior observamos que el papel del docente es esencial en la educación, ya que en el recae gran parte la responsabilidad de formar seres críticos, analíticos, investigadores e inventivos, transmitiendo sus conocimientos, buenas prácticas, valores y competencias necesarias para el desarrollo esperado de la juventud, por lo cual, los docentes tienen un gran compromiso con sus estudiantes, ya que de ellos depende el futuro de la humanidad, claro, en conjunto con los valores y compromiso también de los padres de familia y los mismos estudiantes, ya que es trabajo compartido; sin olvidar la importancia de tomar en cuenta los puntos de vista de los estudiantes y su libertad de expresión que les permita obtener su propia visión y actitud crítica, que los hace ser únicos.</w:t>
      </w:r>
      <w:r w:rsidR="2A55078F">
        <w:br/>
      </w:r>
    </w:p>
    <w:p w14:paraId="32E6E2D6" w14:textId="77777777" w:rsidR="00096037" w:rsidRDefault="00096037" w:rsidP="001C6140">
      <w:pPr>
        <w:spacing w:line="360" w:lineRule="auto"/>
        <w:jc w:val="both"/>
        <w:rPr>
          <w:rFonts w:ascii="Times New Roman" w:eastAsia="Times New Roman" w:hAnsi="Times New Roman" w:cs="Times New Roman"/>
          <w:b/>
          <w:bCs/>
          <w:color w:val="000000" w:themeColor="text1"/>
        </w:rPr>
      </w:pPr>
    </w:p>
    <w:p w14:paraId="2CBA965C" w14:textId="77777777" w:rsidR="00096037" w:rsidRDefault="00096037" w:rsidP="001C6140">
      <w:pPr>
        <w:spacing w:line="360" w:lineRule="auto"/>
        <w:jc w:val="both"/>
        <w:rPr>
          <w:rFonts w:ascii="Times New Roman" w:eastAsia="Times New Roman" w:hAnsi="Times New Roman" w:cs="Times New Roman"/>
          <w:b/>
          <w:bCs/>
          <w:color w:val="000000" w:themeColor="text1"/>
        </w:rPr>
      </w:pPr>
    </w:p>
    <w:p w14:paraId="28F63AE3" w14:textId="77777777" w:rsidR="00EF221B" w:rsidRDefault="00EF221B" w:rsidP="001C6140">
      <w:pPr>
        <w:spacing w:line="360" w:lineRule="auto"/>
        <w:jc w:val="both"/>
        <w:rPr>
          <w:rFonts w:ascii="Times New Roman" w:eastAsia="Times New Roman" w:hAnsi="Times New Roman" w:cs="Times New Roman"/>
          <w:b/>
          <w:bCs/>
          <w:color w:val="000000" w:themeColor="text1"/>
        </w:rPr>
      </w:pPr>
    </w:p>
    <w:p w14:paraId="7EB27135" w14:textId="1EC1294E" w:rsidR="557EC597" w:rsidRDefault="2D831872" w:rsidP="00EF221B">
      <w:pPr>
        <w:spacing w:line="360" w:lineRule="auto"/>
        <w:jc w:val="center"/>
        <w:rPr>
          <w:rFonts w:ascii="Times New Roman" w:eastAsia="Times New Roman" w:hAnsi="Times New Roman" w:cs="Times New Roman"/>
          <w:b/>
          <w:color w:val="000000" w:themeColor="text1"/>
        </w:rPr>
      </w:pPr>
      <w:r w:rsidRPr="2D831872">
        <w:rPr>
          <w:rFonts w:ascii="Times New Roman" w:eastAsia="Times New Roman" w:hAnsi="Times New Roman" w:cs="Times New Roman"/>
          <w:b/>
          <w:bCs/>
          <w:color w:val="000000" w:themeColor="text1"/>
        </w:rPr>
        <w:lastRenderedPageBreak/>
        <w:t>4.- Barrio, comunidad, colonia, pueblo, “contextualizar la interculturalidad”</w:t>
      </w:r>
    </w:p>
    <w:p w14:paraId="55C5C4D5" w14:textId="61B6A508" w:rsidR="557EC597" w:rsidRDefault="2A55078F" w:rsidP="2A55078F">
      <w:pPr>
        <w:spacing w:line="360" w:lineRule="auto"/>
        <w:jc w:val="center"/>
        <w:rPr>
          <w:rFonts w:ascii="Times New Roman" w:eastAsia="Times New Roman" w:hAnsi="Times New Roman" w:cs="Times New Roman"/>
          <w:color w:val="0D0D0D" w:themeColor="text1" w:themeTint="F2"/>
        </w:rPr>
      </w:pPr>
      <w:r w:rsidRPr="2A55078F">
        <w:rPr>
          <w:rFonts w:ascii="Times New Roman" w:eastAsia="Times New Roman" w:hAnsi="Times New Roman" w:cs="Times New Roman"/>
          <w:color w:val="0D0D0D" w:themeColor="text1" w:themeTint="F2"/>
        </w:rPr>
        <w:t>La interculturalidad se refiere a la interacción entre diferentes culturas, promoviendo el respeto, el entendimiento mutuo y la convivencia pacífica. Contextualizar la interculturalidad implica analizar y aplicar estos principios en contextos específicos, como un barrio, comunidad, colonia o pueblo.</w:t>
      </w:r>
    </w:p>
    <w:p w14:paraId="01E927EB" w14:textId="2FA4B0C5"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Barrio</w:t>
      </w:r>
    </w:p>
    <w:p w14:paraId="418A7B9D" w14:textId="022C4EF4"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 barrio es una subdivisión de una ciudad, caracterizada por una comunidad local con identidad y características propias. Contextualizar la interculturalidad en un barrio implica fomentar la integración de diversas culturas a través de actividades comunitarias, eventos multiculturales y la creación de espacios</w:t>
      </w:r>
    </w:p>
    <w:p w14:paraId="7435EA7F" w14:textId="67192EDC"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Comunidad</w:t>
      </w:r>
    </w:p>
    <w:p w14:paraId="3F052362" w14:textId="262CE4C5"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Una comunidad puede referirse a un grupo de personas que comparten intereses, valores o características comunes, ya sea en un espacio físico o virtual. En una comunidad, contextualizar la interculturalidad requiere crear plataformas de diálogo y cooperación entre sus miembros, promoviendo la inclusión y el respeto</w:t>
      </w:r>
    </w:p>
    <w:p w14:paraId="5B884D31" w14:textId="26AB56DF"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Colonia</w:t>
      </w:r>
    </w:p>
    <w:p w14:paraId="348FF5B6" w14:textId="7E5EF84D"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En algunos países, "colonia" es sinónimo de barrio o vecindario, pero también puede referirse a asentamientos más grandes con una estructura más definida. Contextualizar la interculturalidad en una colonia podría incluir la implementación de políticas locales que fomenten la igualdad de oportunidades</w:t>
      </w:r>
    </w:p>
    <w:p w14:paraId="7EF0D2A2" w14:textId="69AD94BE"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Pueblo</w:t>
      </w:r>
    </w:p>
    <w:p w14:paraId="623395E5" w14:textId="25D20AB9"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 pueblo es una entidad más pequeña que una ciudad, con una comunidad generalmente más cohesionada. En un pueblo, la interculturalidad puede ser contextualizada a través del fortalecimiento de las redes sociales y el apoyo mutuo entre sus habitantes.</w:t>
      </w:r>
    </w:p>
    <w:p w14:paraId="14D0C059" w14:textId="13291C50" w:rsidR="557EC597" w:rsidRDefault="557EC597" w:rsidP="557EC597">
      <w:pPr>
        <w:spacing w:line="360" w:lineRule="auto"/>
        <w:jc w:val="center"/>
        <w:rPr>
          <w:rFonts w:ascii="system-ui" w:eastAsia="system-ui" w:hAnsi="system-ui" w:cs="system-ui"/>
          <w:color w:val="0D0D0D" w:themeColor="text1" w:themeTint="F2"/>
        </w:rPr>
      </w:pPr>
    </w:p>
    <w:p w14:paraId="24B7DA5C" w14:textId="77777777" w:rsidR="00EF221B" w:rsidRDefault="00EF221B" w:rsidP="557EC597">
      <w:pPr>
        <w:spacing w:line="360" w:lineRule="auto"/>
        <w:jc w:val="center"/>
        <w:rPr>
          <w:rFonts w:ascii="system-ui" w:eastAsia="system-ui" w:hAnsi="system-ui" w:cs="system-ui"/>
          <w:color w:val="0D0D0D" w:themeColor="text1" w:themeTint="F2"/>
        </w:rPr>
      </w:pPr>
    </w:p>
    <w:p w14:paraId="1B681DDD" w14:textId="77777777" w:rsidR="00EF221B" w:rsidRDefault="00EF221B" w:rsidP="557EC597">
      <w:pPr>
        <w:spacing w:line="360" w:lineRule="auto"/>
        <w:jc w:val="center"/>
        <w:rPr>
          <w:rFonts w:ascii="system-ui" w:eastAsia="system-ui" w:hAnsi="system-ui" w:cs="system-ui"/>
          <w:color w:val="0D0D0D" w:themeColor="text1" w:themeTint="F2"/>
        </w:rPr>
      </w:pPr>
    </w:p>
    <w:p w14:paraId="7D9E23BD" w14:textId="77777777" w:rsidR="002F08BA" w:rsidRDefault="002F08BA" w:rsidP="2B3AEE67">
      <w:pPr>
        <w:spacing w:line="360" w:lineRule="auto"/>
        <w:jc w:val="center"/>
      </w:pPr>
    </w:p>
    <w:p w14:paraId="5D04730C" w14:textId="66B66A54" w:rsidR="00C6580A" w:rsidRDefault="4C38B516" w:rsidP="2B3AEE67">
      <w:pPr>
        <w:spacing w:line="360" w:lineRule="auto"/>
        <w:jc w:val="center"/>
        <w:rPr>
          <w:rFonts w:ascii="Times New Roman" w:eastAsia="Times New Roman" w:hAnsi="Times New Roman" w:cs="Times New Roman"/>
          <w:b/>
          <w:bCs/>
          <w:color w:val="000000" w:themeColor="text1"/>
        </w:rPr>
      </w:pPr>
      <w:r w:rsidRPr="4C38B516">
        <w:rPr>
          <w:rFonts w:ascii="Times New Roman" w:eastAsia="Times New Roman" w:hAnsi="Times New Roman" w:cs="Times New Roman"/>
          <w:b/>
          <w:bCs/>
          <w:color w:val="000000" w:themeColor="text1"/>
        </w:rPr>
        <w:lastRenderedPageBreak/>
        <w:t>5.- Principales desafíos para el desarrollo de escuelas interculturales,</w:t>
      </w:r>
      <w:r w:rsidR="00C6580A">
        <w:br/>
      </w:r>
      <w:r w:rsidRPr="4C38B516">
        <w:rPr>
          <w:rFonts w:ascii="Times New Roman" w:eastAsia="Times New Roman" w:hAnsi="Times New Roman" w:cs="Times New Roman"/>
          <w:b/>
          <w:bCs/>
          <w:color w:val="000000" w:themeColor="text1"/>
        </w:rPr>
        <w:t>inclusivas y con equidad.</w:t>
      </w:r>
      <w:r w:rsidR="2B3AEE67" w:rsidRPr="2B3AEE67">
        <w:rPr>
          <w:rFonts w:ascii="Times New Roman" w:eastAsia="Times New Roman" w:hAnsi="Times New Roman" w:cs="Times New Roman"/>
          <w:b/>
          <w:bCs/>
          <w:color w:val="000000" w:themeColor="text1"/>
        </w:rPr>
        <w:t xml:space="preserve"> </w:t>
      </w:r>
    </w:p>
    <w:p w14:paraId="3DF71BE3" w14:textId="77777777" w:rsidR="00F7285E" w:rsidRPr="00F7285E" w:rsidRDefault="00F7285E" w:rsidP="00F83A82">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Los principales desafíos para el desarrollo de escuelas interculturales, inclusivas y con equidad suelen estar relacionados con la falta de recursos y apoyo gubernamental, la capacitación insuficiente del personal docente en temas interculturales, la discriminación y</w:t>
      </w:r>
    </w:p>
    <w:p w14:paraId="4BF5AB35" w14:textId="77777777" w:rsidR="00F7285E" w:rsidRPr="00F7285E" w:rsidRDefault="00F7285E" w:rsidP="00F83A82">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prejuicios arraigados.</w:t>
      </w:r>
    </w:p>
    <w:p w14:paraId="2658A659" w14:textId="3DEB13C7" w:rsidR="006345F5" w:rsidRPr="00934289" w:rsidRDefault="00F7285E" w:rsidP="00934289">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 xml:space="preserve">Las escuelas interculturales, inclusivas y con equidad buscan promover un ambiente educativo donde se respeten y valoren todas las culturas, se atienda a la diversidad de los estudiantes y se fomente la igualdad de oportunidades. Para abordar este tema de manera integral, se requiere considerar aspectos como la formación docente en diversidad cultural, el acceso equitativo a recursos educativos, la eliminación de barreras para la participación de todos los estudiantes, entre otros </w:t>
      </w:r>
      <w:r w:rsidR="00AC0D30" w:rsidRPr="00F7285E">
        <w:rPr>
          <w:rFonts w:ascii="Times New Roman" w:eastAsiaTheme="minorEastAsia" w:hAnsi="Times New Roman" w:cs="Times New Roman"/>
          <w:kern w:val="0"/>
          <w:lang w:eastAsia="es-MX"/>
          <w14:ligatures w14:val="none"/>
        </w:rPr>
        <w:t>desafíos</w:t>
      </w:r>
      <w:r w:rsidRPr="00F7285E">
        <w:rPr>
          <w:rFonts w:ascii="Times New Roman" w:eastAsiaTheme="minorEastAsia" w:hAnsi="Times New Roman" w:cs="Times New Roman"/>
          <w:kern w:val="0"/>
          <w:lang w:eastAsia="es-MX"/>
          <w14:ligatures w14:val="none"/>
        </w:rPr>
        <w:t>.</w:t>
      </w:r>
    </w:p>
    <w:p w14:paraId="6C2F4B88" w14:textId="77777777" w:rsidR="00C75123" w:rsidRDefault="00C75123" w:rsidP="00934289">
      <w:pPr>
        <w:pStyle w:val="p1"/>
        <w:spacing w:line="276" w:lineRule="auto"/>
        <w:jc w:val="both"/>
        <w:divId w:val="612178419"/>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Género: </w:t>
      </w:r>
      <w:r w:rsidRPr="00934289">
        <w:rPr>
          <w:rFonts w:ascii="Times New Roman" w:hAnsi="Times New Roman"/>
          <w:sz w:val="24"/>
          <w:szCs w:val="24"/>
          <w:lang w:val="es-MX" w:eastAsia="es-MX"/>
        </w:rPr>
        <w:t>La ley de igualdad de oportunidades entre hombres y mujeres contempla la coeducación, es decir, una educación con perspectiva de género basada en la igualdad de ambos sexos. El androcentrismo ha hecho que en la mayoría de los libros los ejemplos y referentes sean masculinos. Por eso, es importante visibilizar la labor de las mujeres a lo largo de la historia y que las niñas también encuentren modelos a seguir. Además, es recomendable usar un lenguaje inclusivo y evitar el sexismo tanto en las actividades diarias como en el denominado "currículo oculto". Otra cuestión fundamental es abordar con respeto y rigor la homosexualidad o transexualidad.</w:t>
      </w:r>
    </w:p>
    <w:p w14:paraId="287C5C76" w14:textId="77777777" w:rsidR="00934289" w:rsidRPr="00934289" w:rsidRDefault="00934289" w:rsidP="00934289">
      <w:pPr>
        <w:pStyle w:val="p1"/>
        <w:spacing w:line="276" w:lineRule="auto"/>
        <w:jc w:val="both"/>
        <w:divId w:val="612178419"/>
        <w:rPr>
          <w:rFonts w:ascii="Times New Roman" w:hAnsi="Times New Roman"/>
          <w:sz w:val="24"/>
          <w:szCs w:val="24"/>
          <w:lang w:val="es-MX" w:eastAsia="es-MX"/>
        </w:rPr>
      </w:pPr>
    </w:p>
    <w:p w14:paraId="262F243B" w14:textId="474685D0" w:rsidR="009A7E08" w:rsidRDefault="009A7E08" w:rsidP="00934289">
      <w:pPr>
        <w:pStyle w:val="p1"/>
        <w:spacing w:line="276" w:lineRule="auto"/>
        <w:jc w:val="both"/>
        <w:divId w:val="1970891674"/>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Migración: </w:t>
      </w:r>
      <w:r w:rsidRPr="00934289">
        <w:rPr>
          <w:rFonts w:ascii="Times New Roman" w:hAnsi="Times New Roman"/>
          <w:sz w:val="24"/>
          <w:szCs w:val="24"/>
          <w:lang w:val="es-MX" w:eastAsia="es-MX"/>
        </w:rPr>
        <w:t>La migración puede implicar una serie de barreras como el idioma, el racismo o costumbres culturales muy diferentes que pueden afectar a la inclusión. Es por tanto importante una educación planteada desde un punto intercultural para ayudar al alumnado migrante y a sus compañeros a asimilar nuevas costumbres o normas de otras culturas ajenas a la propia de cada uno y, principalmente, potenciar la convivencia de diferentes culturas.</w:t>
      </w:r>
    </w:p>
    <w:p w14:paraId="3A7B5B60" w14:textId="77777777" w:rsidR="00934289" w:rsidRPr="00934289" w:rsidRDefault="00934289" w:rsidP="00934289">
      <w:pPr>
        <w:pStyle w:val="p1"/>
        <w:spacing w:line="276" w:lineRule="auto"/>
        <w:jc w:val="both"/>
        <w:divId w:val="1970891674"/>
        <w:rPr>
          <w:rFonts w:ascii="Times New Roman" w:hAnsi="Times New Roman"/>
          <w:sz w:val="24"/>
          <w:szCs w:val="24"/>
          <w:lang w:val="es-MX" w:eastAsia="es-MX"/>
        </w:rPr>
      </w:pPr>
    </w:p>
    <w:p w14:paraId="02CC2DC8" w14:textId="050238C8" w:rsidR="00FF361C" w:rsidRDefault="00A05492" w:rsidP="00934289">
      <w:pPr>
        <w:pStyle w:val="p1"/>
        <w:spacing w:line="276" w:lineRule="auto"/>
        <w:jc w:val="both"/>
        <w:divId w:val="1389109435"/>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Idioma: </w:t>
      </w:r>
      <w:r w:rsidRPr="00934289">
        <w:rPr>
          <w:rFonts w:ascii="Times New Roman" w:hAnsi="Times New Roman"/>
          <w:sz w:val="24"/>
          <w:szCs w:val="24"/>
          <w:lang w:val="es-MX" w:eastAsia="es-MX"/>
        </w:rPr>
        <w:t>Supone una barrera directa y determinante en el proceso de enseñanza y aprendizaje del alumno, impidiendo que pueda seguir y entender las explicaciones del profesor, socializar con los otros compañeros del aula, participar de forma activa en clase</w:t>
      </w:r>
    </w:p>
    <w:p w14:paraId="609701CE" w14:textId="77777777" w:rsidR="00934289" w:rsidRPr="00934289" w:rsidRDefault="00934289" w:rsidP="00934289">
      <w:pPr>
        <w:pStyle w:val="p1"/>
        <w:spacing w:line="276" w:lineRule="auto"/>
        <w:jc w:val="both"/>
        <w:divId w:val="1389109435"/>
        <w:rPr>
          <w:rFonts w:ascii="Times New Roman" w:hAnsi="Times New Roman"/>
          <w:sz w:val="24"/>
          <w:szCs w:val="24"/>
          <w:lang w:val="es-MX" w:eastAsia="es-MX"/>
        </w:rPr>
      </w:pPr>
    </w:p>
    <w:p w14:paraId="2E9A5A33" w14:textId="1AAB2292" w:rsidR="00D17826" w:rsidRPr="00934289" w:rsidRDefault="00FF361C" w:rsidP="00934289">
      <w:pPr>
        <w:pStyle w:val="p1"/>
        <w:spacing w:line="276" w:lineRule="auto"/>
        <w:jc w:val="both"/>
        <w:divId w:val="1389109435"/>
        <w:rPr>
          <w:rFonts w:ascii="Times New Roman" w:hAnsi="Times New Roman"/>
          <w:sz w:val="24"/>
          <w:szCs w:val="24"/>
          <w:lang w:val="es-MX" w:eastAsia="es-MX"/>
        </w:rPr>
      </w:pPr>
      <w:r w:rsidRPr="00934289">
        <w:rPr>
          <w:rFonts w:ascii="Times New Roman" w:hAnsi="Times New Roman"/>
          <w:sz w:val="24"/>
          <w:szCs w:val="24"/>
          <w:lang w:val="es-MX" w:eastAsia="es-MX"/>
        </w:rPr>
        <w:t xml:space="preserve">Racismo: </w:t>
      </w:r>
      <w:r w:rsidR="00D17826" w:rsidRPr="00934289">
        <w:rPr>
          <w:rFonts w:ascii="Times New Roman" w:hAnsi="Times New Roman"/>
          <w:sz w:val="24"/>
          <w:szCs w:val="24"/>
          <w:lang w:val="es-MX" w:eastAsia="es-MX"/>
        </w:rPr>
        <w:t>La multiculturalidad en las aulas puede ser una oportunidad real, un aliciente para conocer otras culturas, idiomas, países, formas de plantearse la vida... Sin embargo, la realidad es que, sin los medios y personal adecuado, puede derivar en problemas de racismo</w:t>
      </w:r>
    </w:p>
    <w:p w14:paraId="72831072" w14:textId="77777777" w:rsidR="00D17826" w:rsidRDefault="00D17826" w:rsidP="00934289">
      <w:pPr>
        <w:spacing w:after="0" w:line="276" w:lineRule="auto"/>
        <w:jc w:val="both"/>
        <w:divId w:val="669213695"/>
        <w:rPr>
          <w:rFonts w:ascii="Times New Roman" w:eastAsiaTheme="minorEastAsia" w:hAnsi="Times New Roman" w:cs="Times New Roman"/>
          <w:kern w:val="0"/>
          <w:lang w:eastAsia="es-MX"/>
          <w14:ligatures w14:val="none"/>
        </w:rPr>
      </w:pPr>
      <w:r w:rsidRPr="00D17826">
        <w:rPr>
          <w:rFonts w:ascii="Times New Roman" w:eastAsiaTheme="minorEastAsia" w:hAnsi="Times New Roman" w:cs="Times New Roman"/>
          <w:kern w:val="0"/>
          <w:lang w:eastAsia="es-MX"/>
          <w14:ligatures w14:val="none"/>
        </w:rPr>
        <w:t>que afecten a la convivencia escolar y, sobre todo, a los alumnos que lo padecen.</w:t>
      </w:r>
    </w:p>
    <w:p w14:paraId="0D9066E1" w14:textId="77777777" w:rsidR="00934289" w:rsidRPr="00934289" w:rsidRDefault="00934289" w:rsidP="00934289">
      <w:pPr>
        <w:spacing w:after="0" w:line="276" w:lineRule="auto"/>
        <w:jc w:val="both"/>
        <w:divId w:val="669213695"/>
        <w:rPr>
          <w:rFonts w:ascii="Times New Roman" w:eastAsiaTheme="minorEastAsia" w:hAnsi="Times New Roman" w:cs="Times New Roman"/>
          <w:kern w:val="0"/>
          <w:lang w:eastAsia="es-MX"/>
          <w14:ligatures w14:val="none"/>
        </w:rPr>
      </w:pPr>
    </w:p>
    <w:p w14:paraId="3A2608CB" w14:textId="77777777" w:rsidR="00934289" w:rsidRDefault="00C32F3D" w:rsidP="00934289">
      <w:pPr>
        <w:pStyle w:val="p1"/>
        <w:spacing w:line="276" w:lineRule="auto"/>
        <w:jc w:val="both"/>
        <w:divId w:val="1018040843"/>
        <w:rPr>
          <w:rFonts w:ascii="Times New Roman" w:hAnsi="Times New Roman"/>
          <w:sz w:val="24"/>
          <w:szCs w:val="24"/>
          <w:lang w:eastAsia="es-MX"/>
        </w:rPr>
      </w:pPr>
      <w:r w:rsidRPr="00934289">
        <w:rPr>
          <w:rFonts w:ascii="Times New Roman" w:hAnsi="Times New Roman"/>
          <w:sz w:val="24"/>
          <w:szCs w:val="24"/>
          <w:lang w:eastAsia="es-MX"/>
        </w:rPr>
        <w:t xml:space="preserve">Religión: </w:t>
      </w:r>
      <w:r w:rsidRPr="00934289">
        <w:rPr>
          <w:rFonts w:ascii="Times New Roman" w:hAnsi="Times New Roman"/>
          <w:sz w:val="24"/>
          <w:szCs w:val="24"/>
          <w:lang w:val="es-MX" w:eastAsia="es-MX"/>
        </w:rPr>
        <w:t>La tasa de estudiantes procedentes de otros países o con otras religiones es cada vez mayor. Por ello, otro ámbito que hay que trabajar es el fomento de la tolerancia para con las diferentes religiones y creencias que puedan tener los alumnos, porque podrían no sent</w:t>
      </w:r>
      <w:r w:rsidR="00593422" w:rsidRPr="00934289">
        <w:rPr>
          <w:rFonts w:ascii="Times New Roman" w:hAnsi="Times New Roman"/>
          <w:sz w:val="24"/>
          <w:szCs w:val="24"/>
          <w:lang w:val="es-MX" w:eastAsia="es-MX"/>
        </w:rPr>
        <w:t xml:space="preserve">irse </w:t>
      </w:r>
      <w:r w:rsidRPr="00C32F3D">
        <w:rPr>
          <w:rFonts w:ascii="Times New Roman" w:hAnsi="Times New Roman"/>
          <w:sz w:val="24"/>
          <w:szCs w:val="24"/>
          <w:lang w:eastAsia="es-MX"/>
        </w:rPr>
        <w:t xml:space="preserve">identificados si en las clases solo se hace referencia y se toma como ejemplo el </w:t>
      </w:r>
      <w:r w:rsidR="00593422" w:rsidRPr="00934289">
        <w:rPr>
          <w:rFonts w:ascii="Times New Roman" w:hAnsi="Times New Roman"/>
          <w:sz w:val="24"/>
          <w:szCs w:val="24"/>
          <w:lang w:eastAsia="es-MX"/>
        </w:rPr>
        <w:t>catolicismo</w:t>
      </w:r>
    </w:p>
    <w:p w14:paraId="2AB35B34" w14:textId="77C776D0" w:rsidR="00C32F3D" w:rsidRPr="00934289" w:rsidRDefault="00C32F3D" w:rsidP="00934289">
      <w:pPr>
        <w:pStyle w:val="p1"/>
        <w:spacing w:line="276" w:lineRule="auto"/>
        <w:jc w:val="both"/>
        <w:divId w:val="1018040843"/>
        <w:rPr>
          <w:rFonts w:ascii="Times New Roman" w:hAnsi="Times New Roman"/>
          <w:sz w:val="24"/>
          <w:szCs w:val="24"/>
          <w:lang w:eastAsia="es-MX"/>
        </w:rPr>
      </w:pPr>
      <w:r w:rsidRPr="00C32F3D">
        <w:rPr>
          <w:rFonts w:ascii="Times New Roman" w:hAnsi="Times New Roman"/>
          <w:sz w:val="24"/>
          <w:szCs w:val="24"/>
          <w:lang w:eastAsia="es-MX"/>
        </w:rPr>
        <w:t>.</w:t>
      </w:r>
    </w:p>
    <w:p w14:paraId="5AD4F81F" w14:textId="77777777" w:rsidR="00FC524F" w:rsidRPr="00934289" w:rsidRDefault="00FC524F" w:rsidP="00934289">
      <w:pPr>
        <w:pStyle w:val="p1"/>
        <w:spacing w:line="276" w:lineRule="auto"/>
        <w:jc w:val="both"/>
        <w:divId w:val="85005490"/>
        <w:rPr>
          <w:rFonts w:ascii="Times New Roman" w:hAnsi="Times New Roman"/>
          <w:sz w:val="24"/>
          <w:szCs w:val="24"/>
          <w:lang w:val="es-MX" w:eastAsia="es-MX"/>
        </w:rPr>
      </w:pPr>
      <w:r w:rsidRPr="00934289">
        <w:rPr>
          <w:rFonts w:ascii="Times New Roman" w:hAnsi="Times New Roman"/>
          <w:sz w:val="24"/>
          <w:szCs w:val="24"/>
          <w:lang w:eastAsia="es-MX"/>
        </w:rPr>
        <w:lastRenderedPageBreak/>
        <w:t xml:space="preserve">Socio cultural y económica: </w:t>
      </w:r>
      <w:r w:rsidRPr="00934289">
        <w:rPr>
          <w:rFonts w:ascii="Times New Roman" w:hAnsi="Times New Roman"/>
          <w:sz w:val="24"/>
          <w:szCs w:val="24"/>
          <w:lang w:val="es-MX" w:eastAsia="es-MX"/>
        </w:rPr>
        <w:t>Un aspecto muy importante es el acceso a la educación, debido a que, a pesar de la gratuidad de esta, no todos los menores tienen la oportunidad de ir a la escuela o reciben el apoyo necesario en caso de presentar alguna dificultad de aprendizaje. El nivel económico que posean las familias o su pertenencia a un grupo sociocultural diferente del predominante en una sociedad pueden también impedir el libre acceso de los menores a la enseñanza. Es el caso de los niños que ayudan a sus familias en el trabajo y que presentan un nivel de absentismo escolar muy alto.</w:t>
      </w:r>
    </w:p>
    <w:p w14:paraId="6FD1BC48" w14:textId="373FA38A" w:rsidR="00593422" w:rsidRPr="00C32F3D" w:rsidRDefault="00593422" w:rsidP="00593422">
      <w:pPr>
        <w:pStyle w:val="p1"/>
        <w:divId w:val="1018040843"/>
        <w:rPr>
          <w:rFonts w:ascii="Helvetica" w:hAnsi="Helvetica"/>
          <w:sz w:val="18"/>
          <w:szCs w:val="18"/>
          <w:lang w:val="es-MX" w:eastAsia="es-MX"/>
        </w:rPr>
      </w:pPr>
    </w:p>
    <w:p w14:paraId="3F0910A9" w14:textId="3DBE9AB4" w:rsidR="00C32F3D" w:rsidRPr="00D17826" w:rsidRDefault="00C32F3D" w:rsidP="00D17826">
      <w:pPr>
        <w:spacing w:after="0" w:line="240" w:lineRule="auto"/>
        <w:divId w:val="669213695"/>
        <w:rPr>
          <w:rFonts w:ascii="Helvetica" w:eastAsiaTheme="minorEastAsia" w:hAnsi="Helvetica" w:cs="Times New Roman"/>
          <w:kern w:val="0"/>
          <w:sz w:val="18"/>
          <w:szCs w:val="18"/>
          <w:lang w:eastAsia="es-MX"/>
          <w14:ligatures w14:val="none"/>
        </w:rPr>
      </w:pPr>
    </w:p>
    <w:p w14:paraId="128B58B0" w14:textId="11D80AE3" w:rsidR="00C75123" w:rsidRPr="00F83A82" w:rsidRDefault="00C75123" w:rsidP="00F83A82">
      <w:pPr>
        <w:spacing w:line="360" w:lineRule="auto"/>
        <w:jc w:val="both"/>
        <w:rPr>
          <w:rFonts w:ascii="Times New Roman" w:eastAsia="Times New Roman" w:hAnsi="Times New Roman" w:cs="Times New Roman"/>
          <w:color w:val="000000" w:themeColor="text1"/>
        </w:rPr>
      </w:pPr>
    </w:p>
    <w:p w14:paraId="221399A4" w14:textId="5C8F3B03" w:rsidR="00C6580A" w:rsidRDefault="00C6580A" w:rsidP="4C38B516">
      <w:pPr>
        <w:spacing w:line="36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6. La participación de la familia, la escuela y la comunidad en los procesos de inclusión.</w:t>
      </w:r>
    </w:p>
    <w:p w14:paraId="3B985E5E" w14:textId="573E7478"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Lo que sucede en el aula obviamente afecta a la equidad, pero las relaciones entre la escuela, los padres y la comunidad también importan. El aprendizaje del estudiante se beneficia de una relación eficaz entre la casa y la escuela; pero un apoyo insuficiente en el hogar puede frenar el avance de niños, pero fomentar la participación de los progenitores, trabajar con los niños en la casa y hacer que intervengan de manera activa en las actividades escolares, sí mejora los resultados. Las escuelas que promueven la participación de los padres y los ayudan para que apoyen a sus hijos en el trabajo escolar tienden a obtener mejores resultados.</w:t>
      </w:r>
    </w:p>
    <w:p w14:paraId="059657BE" w14:textId="77777777"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 xml:space="preserve">Para que eso funcione, las escuelas deben dirigir sus esfuerzos a mejorar la comunicación con los padres en los hogares que carezcan de lo más indispensable y ayudar a crear ambientes familiares propicios para el aprendizaje. Los talleres de tareas en la escuela, después de las horas de clase, también pueden ayudar a los alumnos que cuentan con poco apoyo en casa. La </w:t>
      </w:r>
      <w:bookmarkStart w:id="1" w:name="_Int_rg6p0mcN"/>
      <w:r w:rsidRPr="4C38B516">
        <w:rPr>
          <w:rFonts w:ascii="Times New Roman" w:hAnsi="Times New Roman" w:cs="Times New Roman"/>
        </w:rPr>
        <w:t>participación activa</w:t>
      </w:r>
      <w:bookmarkEnd w:id="1"/>
      <w:r w:rsidRPr="4C38B516">
        <w:rPr>
          <w:rFonts w:ascii="Times New Roman" w:hAnsi="Times New Roman" w:cs="Times New Roman"/>
        </w:rPr>
        <w:t xml:space="preserve"> de la familia, la escuela y la comunidad es crucial para avanzar hacia una educación inclusiva. Permíteme reflexionar sobre este tema.</w:t>
      </w:r>
    </w:p>
    <w:p w14:paraId="5CE5CD8C" w14:textId="7A19A554"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 xml:space="preserve">En el artículo “Escuela, Familia y Comunidad: Construyendo Alianzas para Promover la Inclusión” se habla sobre algunas recomendaciones de acciones para garantizar que todos </w:t>
      </w:r>
      <w:bookmarkStart w:id="2" w:name="_Int_kaINBWyf"/>
      <w:r w:rsidRPr="4C38B516">
        <w:rPr>
          <w:rFonts w:ascii="Times New Roman" w:hAnsi="Times New Roman" w:cs="Times New Roman"/>
        </w:rPr>
        <w:t>los alumnos y alumnas</w:t>
      </w:r>
      <w:bookmarkEnd w:id="2"/>
      <w:r w:rsidRPr="4C38B516">
        <w:rPr>
          <w:rFonts w:ascii="Times New Roman" w:hAnsi="Times New Roman" w:cs="Times New Roman"/>
        </w:rPr>
        <w:t xml:space="preserve"> tengan acceso a una educación inclusiva.   </w:t>
      </w:r>
    </w:p>
    <w:p w14:paraId="3792E1B7" w14:textId="6E1824BF" w:rsidR="00C6580A" w:rsidRDefault="4C38B516" w:rsidP="001C6140">
      <w:pPr>
        <w:spacing w:line="360" w:lineRule="auto"/>
        <w:jc w:val="both"/>
        <w:rPr>
          <w:rFonts w:ascii="Times New Roman" w:hAnsi="Times New Roman" w:cs="Times New Roman"/>
        </w:rPr>
      </w:pPr>
      <w:bookmarkStart w:id="3" w:name="_Int_2yttijQZ"/>
      <w:r w:rsidRPr="4C38B516">
        <w:rPr>
          <w:rFonts w:ascii="Times New Roman" w:hAnsi="Times New Roman" w:cs="Times New Roman"/>
        </w:rPr>
        <w:t>Para crear una educación inclusiva en conjunto con la participación de la comunidad educativa se requiere que la familia, la escuela y la comunidad colaboren activamente para crear un entorno propicio para la inclusión.</w:t>
      </w:r>
      <w:bookmarkEnd w:id="3"/>
      <w:r w:rsidRPr="4C38B516">
        <w:rPr>
          <w:rFonts w:ascii="Times New Roman" w:hAnsi="Times New Roman" w:cs="Times New Roman"/>
        </w:rPr>
        <w:t xml:space="preserve"> Además, la familia tiene un papel relevante en la </w:t>
      </w:r>
      <w:r w:rsidRPr="4C38B516">
        <w:rPr>
          <w:rFonts w:ascii="Times New Roman" w:hAnsi="Times New Roman" w:cs="Times New Roman"/>
        </w:rPr>
        <w:lastRenderedPageBreak/>
        <w:t>calidad de su interacción con los centros escolares por lo tanto la comunicación efectiva entre la familia y los maestros es esencial. La relación familia- escuela tiene roles diferentes pero complementarios, por ejemplo, la familia puede trabajar junto con otros padres y miembros de la comunidad para abogar por políticas y prácticas que respalden la educación inclusiva, la comunidad apoye y promueva prácticas inclusivas. La comunidad puede contribuir a crear oportunidades para que los estudiantes con necesidades especiales participen plenamente en la vida comunitaria.</w:t>
      </w:r>
    </w:p>
    <w:p w14:paraId="22A630C6" w14:textId="64CC0CC4" w:rsidR="00C6580A" w:rsidRDefault="4C38B516" w:rsidP="001C6140">
      <w:pPr>
        <w:spacing w:line="360" w:lineRule="auto"/>
        <w:jc w:val="both"/>
        <w:rPr>
          <w:rFonts w:ascii="Times New Roman" w:hAnsi="Times New Roman" w:cs="Times New Roman"/>
        </w:rPr>
      </w:pPr>
      <w:bookmarkStart w:id="4" w:name="_Int_1Ly0b8h3"/>
      <w:r w:rsidRPr="4C38B516">
        <w:rPr>
          <w:rFonts w:ascii="Times New Roman" w:hAnsi="Times New Roman" w:cs="Times New Roman"/>
        </w:rPr>
        <w:t>De esta manera la participación de la familia, la escuela y la comunidad es necesaria para la creación de un entorno educativo y atienda las necesidades de todos los estudiantes.</w:t>
      </w:r>
      <w:bookmarkEnd w:id="4"/>
    </w:p>
    <w:p w14:paraId="4E8F2A68" w14:textId="77777777" w:rsidR="00EF221B" w:rsidRDefault="00EF221B" w:rsidP="4737FB6D">
      <w:pPr>
        <w:spacing w:line="240" w:lineRule="auto"/>
        <w:jc w:val="center"/>
      </w:pPr>
    </w:p>
    <w:p w14:paraId="129BBD37" w14:textId="044E6541" w:rsidR="00084C7E" w:rsidRDefault="00C6580A" w:rsidP="4737FB6D">
      <w:pPr>
        <w:spacing w:line="24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7Distingan ¿cuáles son las categorías, variables o elementos que están</w:t>
      </w:r>
      <w:r>
        <w:br/>
      </w:r>
      <w:r w:rsidR="4C38B516" w:rsidRPr="4C38B516">
        <w:rPr>
          <w:rFonts w:ascii="Times New Roman" w:eastAsia="Times New Roman" w:hAnsi="Times New Roman" w:cs="Times New Roman"/>
          <w:b/>
          <w:bCs/>
          <w:color w:val="000000" w:themeColor="text1"/>
        </w:rPr>
        <w:t>implicados (siempre hay más de una)?</w:t>
      </w:r>
      <w:r w:rsidR="004A49B1">
        <w:rPr>
          <w:rFonts w:ascii="Times New Roman" w:eastAsia="Times New Roman" w:hAnsi="Times New Roman" w:cs="Times New Roman"/>
          <w:b/>
          <w:bCs/>
          <w:color w:val="000000" w:themeColor="text1"/>
        </w:rPr>
        <w:t xml:space="preserve"> </w:t>
      </w:r>
    </w:p>
    <w:p w14:paraId="01FF38AB"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En el ámbito familiar, es esencial la participación activa en actividades escolares, la comunicación efectiva con educadores, el apoyo emocional y motivacional para el estudiante, el refuerzo de valores y el apoyo con tareas en el hogar, además del acceso a recursos educativos y la adopción de actitudes positivas hacia la educación.</w:t>
      </w:r>
    </w:p>
    <w:p w14:paraId="372DA2AE"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La familia asume desde los primeros años su papel protagónico como promotora del desarrollo infantil, en la medida en que se compromete, se prepara, organiza, conduce las acciones educativas que realiza con sus hijos y valora sus resultados.</w:t>
      </w:r>
    </w:p>
    <w:p w14:paraId="6CC6CDA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Existen variables que ayudan o dificultan la participación como son, entre otras: las políticas, las creencias de las familias, las creencias del profesorado, la percepción del profesorado (sobre las familias, la educación y la institución educativa), los programas, la cultura, el liderazgo, el interés, factores sociales, barreras de comunicación o experiencias negativas. Todas ellas se deben tener presentes en las propuestas de participación, colaboración e implicación de los padres en la vida del centro. No debemos olvidar que los padres han de ser los primeros responsables de la educación de sus hijos y, tener en cuenta el valor de las familias en el contexto institucional.</w:t>
      </w:r>
    </w:p>
    <w:p w14:paraId="21CC1B0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En la escuela, la implementación de políticas inclusivas es fundamental, junto con la formación continua de los docentes en prácticas inclusivas. Es necesario un currículum flexible que atienda diversas necesidades, así como recursos y personal especializado. Crear un ambiente escolar acogedor, realizar evaluaciones y seguimientos individuales, y promover la colaboración interdisciplinaria entre profesionales son también elementos cruciales.</w:t>
      </w:r>
    </w:p>
    <w:p w14:paraId="2E354DD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A nivel comunitario, las redes de apoyo y los grupos comunitarios son vitales. La sensibilización a través de programas de concienciación, el acceso a servicios comunitarios, la participación ciudadana en actividades escolares, las normativas locales que apoyen la inclusión y el voluntariado en programas escolares son componentes importantes.</w:t>
      </w:r>
    </w:p>
    <w:p w14:paraId="4DF7B500"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lastRenderedPageBreak/>
        <w:t>La interacción y colaboración entre todos los actores implicados, como las alianzas estratégicas entre familia, escuela y comunidad, y la comunicación efectiva son fundamentales. El empoderamiento de las familias y las comunidades para participar activamente en la educación inclusiva, el desarrollo de programas y actividades integradas, y los procesos de evaluación colaborativa que mejoren continuamente las prácticas inclusivas son también cruciales.</w:t>
      </w:r>
    </w:p>
    <w:p w14:paraId="6BBCE660" w14:textId="77777777" w:rsidR="00B71700"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Además, se deben considerar factores contextuales como la influencia de la cultura y los valores comunitarios, el impacto de los recursos socioeconómicos en la capacidad de apoyo, las políticas gubernamentales y su influencia, y el uso de la tecnología para facilitar la comunicación y el acceso a recursos educativos.</w:t>
      </w:r>
    </w:p>
    <w:p w14:paraId="631235CB" w14:textId="77777777" w:rsidR="00EF221B" w:rsidRDefault="00EF221B" w:rsidP="005A3925">
      <w:pPr>
        <w:spacing w:line="240" w:lineRule="auto"/>
        <w:jc w:val="center"/>
      </w:pPr>
    </w:p>
    <w:p w14:paraId="1D4F1E1A" w14:textId="655AAFAC" w:rsidR="00C6580A" w:rsidRPr="00B71700" w:rsidRDefault="00C6580A" w:rsidP="005A3925">
      <w:pPr>
        <w:spacing w:line="240" w:lineRule="auto"/>
        <w:jc w:val="center"/>
      </w:pPr>
      <w:r>
        <w:br/>
      </w:r>
      <w:r w:rsidR="4C38B516" w:rsidRPr="4C38B516">
        <w:rPr>
          <w:rFonts w:ascii="Times New Roman" w:eastAsia="Times New Roman" w:hAnsi="Times New Roman" w:cs="Times New Roman"/>
          <w:b/>
          <w:bCs/>
          <w:color w:val="000000" w:themeColor="text1"/>
        </w:rPr>
        <w:t>8. - Consideren las características propias de la categoría, variable o</w:t>
      </w:r>
      <w:r>
        <w:br/>
      </w:r>
      <w:r w:rsidR="4C38B516" w:rsidRPr="4C38B516">
        <w:rPr>
          <w:rFonts w:ascii="Times New Roman" w:eastAsia="Times New Roman" w:hAnsi="Times New Roman" w:cs="Times New Roman"/>
          <w:b/>
          <w:bCs/>
          <w:color w:val="000000" w:themeColor="text1"/>
        </w:rPr>
        <w:t>elementos para proceder a examinarlas en varios niveles de análisis y</w:t>
      </w:r>
      <w:r>
        <w:br/>
      </w:r>
      <w:r w:rsidR="4C38B516" w:rsidRPr="4C38B516">
        <w:rPr>
          <w:rFonts w:ascii="Times New Roman" w:eastAsia="Times New Roman" w:hAnsi="Times New Roman" w:cs="Times New Roman"/>
          <w:b/>
          <w:bCs/>
          <w:color w:val="000000" w:themeColor="text1"/>
        </w:rPr>
        <w:t>determinar las relaciones existentes.</w:t>
      </w:r>
    </w:p>
    <w:p w14:paraId="34776CB1" w14:textId="6477FC2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Nivel familiar:</w:t>
      </w:r>
    </w:p>
    <w:p w14:paraId="683043A0" w14:textId="6C69161A"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La participación activa y la comunicación efectiva con los educadores fortalecen el apoyo emocional y motivacional para el estudiante. </w:t>
      </w:r>
    </w:p>
    <w:p w14:paraId="38129CC4" w14:textId="42B76062"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El refuerzo de valores y el apoyo con las tareas en el hogar son formas concretas de participación que dependen del compromiso y la preparación de la familia.</w:t>
      </w:r>
    </w:p>
    <w:p w14:paraId="1CAEA837" w14:textId="4BBB086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El acceso a recursos educativos y la adopción de actitudes positivas hacia la educación mejoran el desempeño académico del estudiante.</w:t>
      </w:r>
    </w:p>
    <w:p w14:paraId="3C0E74E0" w14:textId="07A4A3EC"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 </w:t>
      </w:r>
    </w:p>
    <w:p w14:paraId="5604CF68" w14:textId="6731174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Nivel escolar:</w:t>
      </w:r>
    </w:p>
    <w:p w14:paraId="393A83A4" w14:textId="7453F13C"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políticas inclusivas y la formación continua de los docentes son fundamentales para desarrollar un currículum flexible que atienda diversas necesidades.</w:t>
      </w:r>
    </w:p>
    <w:p w14:paraId="281E0327" w14:textId="2780EFE8"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disponibilidad de recursos y personal especializado facilita la creación de un ambiente escolar acogedor.</w:t>
      </w:r>
    </w:p>
    <w:p w14:paraId="5C5C8E0C" w14:textId="7C4A16E4"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evaluaciones y seguimientos individuales permiten una atención personalizada, mientras que la colaboración interdisciplinaria optimiza los esfuerzos educativos.</w:t>
      </w:r>
    </w:p>
    <w:p w14:paraId="0C2F45AB" w14:textId="3B3F4FD6"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 </w:t>
      </w:r>
    </w:p>
    <w:p w14:paraId="28D839CE" w14:textId="734EB50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Nivel comunitario: </w:t>
      </w:r>
    </w:p>
    <w:p w14:paraId="0371FBCF" w14:textId="020F4D68"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redes de apoyo y los grupos comunitarios son esenciales para la implementación de programas de concienciación y el acceso a servicios comunitarios.</w:t>
      </w:r>
    </w:p>
    <w:p w14:paraId="41D9911C" w14:textId="6AD6CC9F"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participación ciudadana en actividades escolares y el voluntariado son facilitados por normativas locales que apoyan la inclusión.</w:t>
      </w:r>
    </w:p>
    <w:p w14:paraId="74D08D08" w14:textId="518AF9F3"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lastRenderedPageBreak/>
        <w:t>La interacción y colaboración entre la familia, la escuela y la comunidad fortalecen las alianzas estratégicas y la comunicación efectiva, fundamentales para una educación inclusiva.</w:t>
      </w:r>
    </w:p>
    <w:p w14:paraId="3003C66F" w14:textId="77777777" w:rsidR="00EF221B" w:rsidRDefault="00EF221B" w:rsidP="005A3925">
      <w:pPr>
        <w:spacing w:line="240" w:lineRule="auto"/>
        <w:jc w:val="center"/>
      </w:pPr>
    </w:p>
    <w:p w14:paraId="666F8894" w14:textId="4CA6A48E" w:rsidR="00C6580A" w:rsidRPr="00B71700" w:rsidRDefault="00C6580A" w:rsidP="005A3925">
      <w:pPr>
        <w:spacing w:line="240" w:lineRule="auto"/>
        <w:jc w:val="center"/>
      </w:pPr>
      <w:r>
        <w:br/>
      </w:r>
      <w:r w:rsidR="4C38B516" w:rsidRPr="4C38B516">
        <w:rPr>
          <w:rFonts w:ascii="Times New Roman" w:eastAsia="Times New Roman" w:hAnsi="Times New Roman" w:cs="Times New Roman"/>
          <w:b/>
          <w:bCs/>
          <w:color w:val="000000" w:themeColor="text1"/>
        </w:rPr>
        <w:t>9 - Cuestionen e interroguen constante de las distintas interacciones que se</w:t>
      </w:r>
      <w:r w:rsidR="31634E21">
        <w:t xml:space="preserve"> </w:t>
      </w:r>
      <w:r w:rsidR="4C38B516" w:rsidRPr="4C38B516">
        <w:rPr>
          <w:rFonts w:ascii="Times New Roman" w:eastAsia="Times New Roman" w:hAnsi="Times New Roman" w:cs="Times New Roman"/>
          <w:b/>
          <w:bCs/>
          <w:color w:val="000000" w:themeColor="text1"/>
        </w:rPr>
        <w:t>establecen entre categoría, variable o elementos</w:t>
      </w:r>
    </w:p>
    <w:p w14:paraId="1056CB24" w14:textId="5B8EDB7F" w:rsidR="00C6580A" w:rsidRDefault="4737FB6D" w:rsidP="005867B4">
      <w:pPr>
        <w:spacing w:line="257" w:lineRule="auto"/>
        <w:jc w:val="both"/>
        <w:rPr>
          <w:rFonts w:ascii="Times New Roman" w:eastAsia="Times New Roman" w:hAnsi="Times New Roman" w:cs="Times New Roman"/>
        </w:rPr>
      </w:pPr>
      <w:r w:rsidRPr="4737FB6D">
        <w:rPr>
          <w:rFonts w:ascii="Times New Roman" w:eastAsia="Times New Roman" w:hAnsi="Times New Roman" w:cs="Times New Roman"/>
        </w:rPr>
        <w:t xml:space="preserve">un sistema educativo será más equitativo que otro si las desigualdades existentes en el ámbito educativo son ventajosas para los más desfavorecidos.  En este sentido la equidad es más justa que la igualdad pues ejerce una acción compensadora.  Es decir, podemos aceptar una pluralidad cultural y de trayectorias formativas, pero se deben garantizar resultados comunes mínimos al final de la educación obligatoria. La equidad es conceptualmente superior a la igualdad, pues compensa la desigualdad. No obstante, la igualdad es mucho más fácil de medir que la equidad, pues la equidad implica una desigualdad compensatoria positiva. En economía de la educación se reconocen dos tipos de equidad:  la horizontal y la vertical.  </w:t>
      </w:r>
    </w:p>
    <w:p w14:paraId="0C39DDB9" w14:textId="5BDC8952" w:rsidR="00C6580A" w:rsidRDefault="4737FB6D" w:rsidP="005867B4">
      <w:pPr>
        <w:spacing w:line="257" w:lineRule="auto"/>
        <w:jc w:val="both"/>
        <w:rPr>
          <w:rFonts w:ascii="Times New Roman" w:eastAsia="Times New Roman" w:hAnsi="Times New Roman" w:cs="Times New Roman"/>
        </w:rPr>
      </w:pPr>
      <w:r w:rsidRPr="4737FB6D">
        <w:rPr>
          <w:rFonts w:ascii="Times New Roman" w:eastAsia="Times New Roman" w:hAnsi="Times New Roman" w:cs="Times New Roman"/>
        </w:rPr>
        <w:t xml:space="preserve">La equidad horizontal implica que los recursos asignados a cada zona escolar deben ser similares en infraestructura, financiamiento, tipo y calificación de profesores, número de alumnos por profesor y deben tener un gasto por alumno equivalente independientemente del nivel socioeconómico, educación y riqueza de la población meta.  A esta equidad se le denomina igual tratamiento de los iguales. En tanto que la equidad vertical consiste en dar más a aquellas zonas escolares en las cuales el costo de vida es más alto, pero también se deben otorgar recursos adicionales para realizar esfuerzos compensatorios como mejorar el capital cultural de los alumnos o corregir desventajas sociales, lo cual se conoce como  </w:t>
      </w:r>
    </w:p>
    <w:p w14:paraId="2D719572" w14:textId="0DB70B36" w:rsidR="00C6580A" w:rsidRDefault="4737FB6D" w:rsidP="005867B4">
      <w:pPr>
        <w:spacing w:line="257" w:lineRule="auto"/>
        <w:jc w:val="both"/>
      </w:pPr>
      <w:r w:rsidRPr="4737FB6D">
        <w:rPr>
          <w:rFonts w:ascii="Times New Roman" w:eastAsia="Times New Roman" w:hAnsi="Times New Roman" w:cs="Times New Roman"/>
        </w:rPr>
        <w:t xml:space="preserve">tratamiento desigual de los desiguales. Desde un punto de vista conceptual la equidad educativa se deriva de ambos tipos de equidad: primero se debe establecer un financiamiento y distribución de los recursos en condiciones de igualdad para todas las zonas escolares y, además </w:t>
      </w:r>
      <w:r w:rsidRPr="4737FB6D">
        <w:rPr>
          <w:rFonts w:ascii="Times New Roman" w:eastAsia="Times New Roman" w:hAnsi="Times New Roman" w:cs="Times New Roman"/>
          <w:color w:val="000000" w:themeColor="text1"/>
        </w:rPr>
        <w:t>se deben entregar otros recursos adicionales para las acciones compensatorias.</w:t>
      </w:r>
    </w:p>
    <w:p w14:paraId="125F764F" w14:textId="383DEC93" w:rsidR="00C6580A" w:rsidRDefault="00C6580A" w:rsidP="4737FB6D">
      <w:pPr>
        <w:spacing w:line="240" w:lineRule="auto"/>
      </w:pPr>
    </w:p>
    <w:p w14:paraId="633CFA39" w14:textId="51A10F4E" w:rsidR="00C6580A" w:rsidRDefault="00C6580A" w:rsidP="0FF70CD4">
      <w:pPr>
        <w:spacing w:line="24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10- Utilicen sus desarrollos teóricos (logrados en el curso como en otros)</w:t>
      </w:r>
      <w:r>
        <w:br/>
      </w:r>
      <w:r w:rsidR="4C38B516" w:rsidRPr="4C38B516">
        <w:rPr>
          <w:rFonts w:ascii="Times New Roman" w:eastAsia="Times New Roman" w:hAnsi="Times New Roman" w:cs="Times New Roman"/>
          <w:b/>
          <w:bCs/>
          <w:color w:val="000000" w:themeColor="text1"/>
        </w:rPr>
        <w:t>durante el análisis, así como también incluyan algunos referentes</w:t>
      </w:r>
      <w:r>
        <w:br/>
      </w:r>
      <w:r w:rsidR="4C38B516" w:rsidRPr="4C38B516">
        <w:rPr>
          <w:rFonts w:ascii="Times New Roman" w:eastAsia="Times New Roman" w:hAnsi="Times New Roman" w:cs="Times New Roman"/>
          <w:b/>
          <w:bCs/>
          <w:color w:val="000000" w:themeColor="text1"/>
        </w:rPr>
        <w:t>empíricos</w:t>
      </w:r>
    </w:p>
    <w:p w14:paraId="575CF1C9" w14:textId="384CACEE" w:rsidR="00C6580A" w:rsidRDefault="0FF70CD4" w:rsidP="005867B4">
      <w:pPr>
        <w:spacing w:line="257" w:lineRule="auto"/>
        <w:jc w:val="both"/>
      </w:pPr>
      <w:r w:rsidRPr="0FF70CD4">
        <w:rPr>
          <w:rFonts w:ascii="Times New Roman" w:eastAsia="Times New Roman" w:hAnsi="Times New Roman" w:cs="Times New Roman"/>
        </w:rPr>
        <w:t>En el curso se realizaron diversos temas como el desarrollo de escuelas interculturales, inclusivas y con equidad, un tema de interés creciente en la educación, y se puede abordar desde diversas perspectivas teóricas y empíricas.</w:t>
      </w:r>
      <w:r w:rsidRPr="0FF70CD4">
        <w:rPr>
          <w:rFonts w:ascii="Times New Roman" w:eastAsia="Times New Roman" w:hAnsi="Times New Roman" w:cs="Times New Roman"/>
          <w:color w:val="0D0D0D" w:themeColor="text1" w:themeTint="F2"/>
        </w:rPr>
        <w:t xml:space="preserve"> Dentro de ellas se encuentra la teoría de la interculturalidad, esta se centra en el reconocimiento y respeto de la diversidad cultural dentro del ámbito educativo. Promoviendo la idea de que todas las culturas tienen el mismo valor y deben ser reconocidas y respetadas en igualdad de condiciones. Se basa en los principios de igualdad, respeto mutuo y diálogo intercultural.</w:t>
      </w:r>
      <w:r w:rsidRPr="0FF70CD4">
        <w:rPr>
          <w:rFonts w:ascii="Times New Roman" w:eastAsia="Times New Roman" w:hAnsi="Times New Roman" w:cs="Times New Roman"/>
        </w:rPr>
        <w:t xml:space="preserve"> Asimismo, dentro de la teoría de la inclusión educativa se habla sobre la idea de que todos los estudiantes, </w:t>
      </w:r>
      <w:r w:rsidRPr="0FF70CD4">
        <w:rPr>
          <w:rFonts w:ascii="Times New Roman" w:eastAsia="Times New Roman" w:hAnsi="Times New Roman" w:cs="Times New Roman"/>
        </w:rPr>
        <w:lastRenderedPageBreak/>
        <w:t>independientemente de sus capacidades, género, origen étnico o socioeconómico, tienen derecho a una educación de calidad en un entorno que respete y valore sus diferencias.</w:t>
      </w:r>
    </w:p>
    <w:p w14:paraId="00A8015D" w14:textId="5EC22381" w:rsidR="00C6580A" w:rsidRDefault="0FF70CD4" w:rsidP="005867B4">
      <w:pPr>
        <w:spacing w:line="257" w:lineRule="auto"/>
        <w:jc w:val="both"/>
        <w:rPr>
          <w:rFonts w:ascii="Aptos" w:eastAsia="Aptos" w:hAnsi="Aptos" w:cs="Aptos"/>
          <w:sz w:val="22"/>
          <w:szCs w:val="22"/>
        </w:rPr>
      </w:pPr>
      <w:r w:rsidRPr="0FF70CD4">
        <w:rPr>
          <w:rFonts w:ascii="Times New Roman" w:eastAsia="Times New Roman" w:hAnsi="Times New Roman" w:cs="Times New Roman"/>
          <w:color w:val="0D0D0D" w:themeColor="text1" w:themeTint="F2"/>
        </w:rPr>
        <w:t>La equidad en educación hace referencia a la justicia en el acceso, proceso y resultados educativos. Esta teoría enfatiza la eliminación de las desigualdades y la provisión de recursos y apoyo adicional a aquellos que más lo necesitan.</w:t>
      </w:r>
      <w:r w:rsidRPr="0FF70CD4">
        <w:rPr>
          <w:rFonts w:ascii="Aptos" w:eastAsia="Aptos" w:hAnsi="Aptos" w:cs="Aptos"/>
          <w:sz w:val="22"/>
          <w:szCs w:val="22"/>
        </w:rPr>
        <w:t xml:space="preserve"> Por lo cual en diversos estudios se han documentado la implementación de programas interculturales en países como México, Perú y Bolivia. Por ejemplo, en México, el Programa de Educación Intercultural Bilingüe (PEIB) ha sido objeto de análisis para evaluar su efectividad en comunidades indígenas. Las escuelas que implementan programas interculturales tienden a mejorar la participación y el rendimiento académico de estudiantes indígenas, aunque enfrentan desafíos en cuanto a recursos y capacitación docente.</w:t>
      </w:r>
    </w:p>
    <w:p w14:paraId="3B4510C7" w14:textId="47DCDB30" w:rsidR="00C6580A" w:rsidRPr="000C003F" w:rsidRDefault="0FF70CD4" w:rsidP="005867B4">
      <w:pPr>
        <w:spacing w:line="257" w:lineRule="auto"/>
        <w:jc w:val="both"/>
      </w:pPr>
      <w:r w:rsidRPr="0FF70CD4">
        <w:rPr>
          <w:rFonts w:ascii="Times New Roman" w:eastAsia="Times New Roman" w:hAnsi="Times New Roman" w:cs="Times New Roman"/>
          <w:color w:val="0D0D0D" w:themeColor="text1" w:themeTint="F2"/>
        </w:rPr>
        <w:t>El desarrollo de escuelas interculturales, inclusivas y con equidad requiere una integración coherente de teorías y prácticas. Es fundamental considerar la diversidad cultural, la inclusión de todos los estudiantes y la equidad en la distribución de recursos y oportunidades. Los estudios empíricos apoyan la idea de que tales enfoques no solo mejoran el rendimiento académico y el bienestar de los estudiantes, sino que también contribuyen a la construcción de sociedades más justas y equitativas a todos los estudiantes</w:t>
      </w:r>
    </w:p>
    <w:p w14:paraId="4B5856C8" w14:textId="77777777" w:rsidR="005867B4" w:rsidRDefault="005867B4" w:rsidP="4ECFA37E">
      <w:pPr>
        <w:spacing w:line="360" w:lineRule="auto"/>
        <w:rPr>
          <w:rFonts w:ascii="Times New Roman" w:hAnsi="Times New Roman" w:cs="Times New Roman"/>
          <w:b/>
          <w:bCs/>
          <w:color w:val="000000" w:themeColor="text1"/>
        </w:rPr>
      </w:pPr>
    </w:p>
    <w:p w14:paraId="4319E160" w14:textId="17062627" w:rsidR="00386F7B" w:rsidRPr="00386F7B" w:rsidRDefault="00386F7B" w:rsidP="005867B4">
      <w:pPr>
        <w:spacing w:line="360" w:lineRule="auto"/>
        <w:jc w:val="center"/>
        <w:rPr>
          <w:rFonts w:ascii="Times New Roman" w:hAnsi="Times New Roman" w:cs="Times New Roman"/>
          <w:b/>
          <w:bCs/>
          <w:color w:val="000000" w:themeColor="text1"/>
        </w:rPr>
      </w:pPr>
      <w:r w:rsidRPr="00386F7B">
        <w:rPr>
          <w:rFonts w:ascii="Times New Roman" w:hAnsi="Times New Roman" w:cs="Times New Roman"/>
          <w:b/>
          <w:bCs/>
          <w:color w:val="000000" w:themeColor="text1"/>
        </w:rPr>
        <w:t>Conclusión</w:t>
      </w:r>
    </w:p>
    <w:p w14:paraId="7116F4B0" w14:textId="497B5841"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El análisis de las diferencias entre las políticas interculturales tradicionales y las propuestas de interculturalidad crítica muestra una diferencia fundamental en sus objetivos y métodos. Las políticas interculturales tradicionales se centran en la integración y el reconocimiento de la diversidad cultural, promoviendo la convivencia pacífica y el respeto mutuo entre culturas a través de programas educativos y sociales que fomentan la inclusión y la tolerancia. Ejemplos de esto incluyen la incorporación de contenidos multiculturales en los planes de estudio y la formación de personal en competencias interculturales.</w:t>
      </w:r>
    </w:p>
    <w:p w14:paraId="18B5E5A6" w14:textId="03E8EDA0" w:rsidR="00A011C7" w:rsidRPr="00B81F20" w:rsidRDefault="00A011C7" w:rsidP="005867B4">
      <w:pPr>
        <w:pStyle w:val="p2"/>
        <w:jc w:val="both"/>
        <w:divId w:val="423385004"/>
        <w:rPr>
          <w:rFonts w:ascii="Times New Roman" w:hAnsi="Times New Roman"/>
          <w:sz w:val="24"/>
          <w:szCs w:val="24"/>
        </w:rPr>
      </w:pPr>
    </w:p>
    <w:p w14:paraId="1537BF63" w14:textId="61C98247"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Por otro lado, la interculturalidad crítica adopta un enfoque más transformador, cuestionando y desafiando las relaciones de poder asimétricas que conforman la inequidad y la injusticia. Este enfoque busca desintegrar las estructuras de dominación y opresión, promoviendo cambios profundos en las instituciones y normas sociales. La interculturalidad crítica enfatiza la educación independiente, fomentando el pensamiento crítico y la comprensión de las dinámicas de poder y opresión. Promueve la participación activa y el diálogo genuino de todas las culturas en la toma de decisiones, permitiendo a las comunidades marginadas ser agentes de cambio en lugar de meros receptores de políticas.</w:t>
      </w:r>
    </w:p>
    <w:p w14:paraId="16B607A4" w14:textId="0BE8CA94" w:rsidR="00A011C7" w:rsidRPr="00B81F20" w:rsidRDefault="00A011C7" w:rsidP="005867B4">
      <w:pPr>
        <w:pStyle w:val="p2"/>
        <w:jc w:val="both"/>
        <w:divId w:val="423385004"/>
        <w:rPr>
          <w:rFonts w:ascii="Times New Roman" w:hAnsi="Times New Roman"/>
          <w:sz w:val="24"/>
          <w:szCs w:val="24"/>
        </w:rPr>
      </w:pPr>
    </w:p>
    <w:p w14:paraId="604FEDC7" w14:textId="0C587BEE"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En el contexto escolar, la escuela como comunidad de aprendizaje juega un rol crucial al conectar la enseñanza con el contexto inmediato de los estudiantes, promoviendo aprendizajes significativos que reflejen su realidad y necesidades. La relación entre la escuela y la comunidad debe ser vista como una integración natural, donde la escuela no está fuera de la comunidad, sino profundamente enfocada en ella. Esto implica que la educación debe reflejar y responder a las características y necesidades específicas del entorno comunitario.</w:t>
      </w:r>
    </w:p>
    <w:p w14:paraId="7561C4E7" w14:textId="21243DC1" w:rsidR="00A011C7" w:rsidRPr="00B81F20" w:rsidRDefault="00A011C7" w:rsidP="005867B4">
      <w:pPr>
        <w:pStyle w:val="p2"/>
        <w:jc w:val="both"/>
        <w:divId w:val="423385004"/>
        <w:rPr>
          <w:rFonts w:ascii="Times New Roman" w:hAnsi="Times New Roman"/>
          <w:sz w:val="24"/>
          <w:szCs w:val="24"/>
        </w:rPr>
      </w:pPr>
    </w:p>
    <w:p w14:paraId="42CBDB69" w14:textId="6F400CA2"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función docente en este contexto es vital para impulsar la transformación educativa. Los docentes no solo transmiten conocimientos, sino que también actúan como agentes socializadores, impartiendo valores y actitudes que influencian la formación de los estudiantes. Es esencial que los docentes desarrollen estrategias pedagógicas que promuevan el aprendizaje significativo y las competencias necesarias para el desarrollo social y personal de los estudiantes. El aprendizaje a través de experiencias y el contacto social es fundamental para que los estudiantes puedan interiorizar y asimilar conocimientos de manera efectiva.</w:t>
      </w:r>
    </w:p>
    <w:p w14:paraId="21AD30F9" w14:textId="05EB1221" w:rsidR="00A011C7" w:rsidRPr="00B81F20" w:rsidRDefault="00A011C7" w:rsidP="005867B4">
      <w:pPr>
        <w:pStyle w:val="p2"/>
        <w:jc w:val="both"/>
        <w:divId w:val="423385004"/>
        <w:rPr>
          <w:rFonts w:ascii="Times New Roman" w:hAnsi="Times New Roman"/>
          <w:sz w:val="24"/>
          <w:szCs w:val="24"/>
        </w:rPr>
      </w:pPr>
    </w:p>
    <w:p w14:paraId="0C3C9488" w14:textId="779AF395"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contextualización de la interculturalidad en diferentes entornos, como barrios, comunidades, colonias y pueblos, es clave para promover el respeto, el entendimiento mutuo y la convivencia pacífica. En un barrio, esto puede lograrse mediante actividades comunitarias y eventos multiculturales. En una comunidad, se requiere la creación de plataformas de diálogo y cooperación. En colonias, la implementación de políticas locales que fomenten la igualdad de oportunidades es fundamental. En pueblos, el fortalecimiento de redes sociales y el apoyo mutuo entre los habitantes es crucial.</w:t>
      </w:r>
    </w:p>
    <w:p w14:paraId="0B1AD13E" w14:textId="1C687D01" w:rsidR="00A011C7" w:rsidRPr="00B81F20" w:rsidRDefault="00A011C7" w:rsidP="005867B4">
      <w:pPr>
        <w:pStyle w:val="p2"/>
        <w:jc w:val="both"/>
        <w:divId w:val="423385004"/>
        <w:rPr>
          <w:rFonts w:ascii="Times New Roman" w:hAnsi="Times New Roman"/>
          <w:sz w:val="24"/>
          <w:szCs w:val="24"/>
        </w:rPr>
      </w:pPr>
    </w:p>
    <w:p w14:paraId="1ED9F4F8" w14:textId="4F01B10B"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Los desafíos para el desarrollo de escuelas interculturales, inclusivas y con equidad son numerosos. La participación activa de la familia, la escuela y la comunidad es esencial para crear un entorno educativo inclusivo. Las relaciones entre la escuela, los padres y la comunidad influyen significativamente en la equidad y en el aprendizaje de los estudiantes. La comunicación efectiva y el apoyo mutuo son fundamentales para mejorar los resultados educativos y promover la inclusión.</w:t>
      </w:r>
    </w:p>
    <w:p w14:paraId="2A977F79" w14:textId="7EE4A734" w:rsidR="00A011C7" w:rsidRPr="00B81F20" w:rsidRDefault="00A011C7" w:rsidP="005867B4">
      <w:pPr>
        <w:pStyle w:val="p2"/>
        <w:jc w:val="both"/>
        <w:divId w:val="423385004"/>
        <w:rPr>
          <w:rFonts w:ascii="Times New Roman" w:hAnsi="Times New Roman"/>
          <w:sz w:val="24"/>
          <w:szCs w:val="24"/>
        </w:rPr>
      </w:pPr>
    </w:p>
    <w:p w14:paraId="11021356" w14:textId="0C256F76"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equidad educativa se define en términos de igualdad en el acceso a recursos y la provisión de apoyo adicional para quienes más lo necesitan. Esto implica tanto la equidad horizontal, que asegura recursos similares para todas las zonas escolares, como la equidad vertical, que otorga recursos adicionales a las zonas con mayores necesidades. La equidad es conceptualmente superior a la igualdad porque compensa las desventajas, aunque es más difícil de medir.</w:t>
      </w:r>
    </w:p>
    <w:p w14:paraId="68B8CEA9" w14:textId="3F93D9A4" w:rsidR="00FC5A33" w:rsidRDefault="00FC5A33" w:rsidP="4ECFA37E">
      <w:pPr>
        <w:spacing w:line="360" w:lineRule="auto"/>
        <w:rPr>
          <w:rFonts w:ascii="Times New Roman" w:hAnsi="Times New Roman" w:cs="Times New Roman"/>
          <w:b/>
          <w:bCs/>
          <w:color w:val="000000" w:themeColor="text1"/>
        </w:rPr>
      </w:pPr>
    </w:p>
    <w:p w14:paraId="181E3E45" w14:textId="77777777" w:rsidR="00B81F20" w:rsidRDefault="00B81F20" w:rsidP="4ECFA37E">
      <w:pPr>
        <w:spacing w:line="360" w:lineRule="auto"/>
        <w:rPr>
          <w:rFonts w:ascii="Times New Roman" w:hAnsi="Times New Roman" w:cs="Times New Roman"/>
          <w:b/>
          <w:bCs/>
          <w:color w:val="000000" w:themeColor="text1"/>
        </w:rPr>
      </w:pPr>
    </w:p>
    <w:p w14:paraId="3D942321" w14:textId="77777777" w:rsidR="00B81F20" w:rsidRDefault="00B81F20" w:rsidP="4ECFA37E">
      <w:pPr>
        <w:spacing w:line="360" w:lineRule="auto"/>
        <w:rPr>
          <w:rFonts w:ascii="Times New Roman" w:hAnsi="Times New Roman" w:cs="Times New Roman"/>
          <w:b/>
          <w:bCs/>
          <w:color w:val="000000" w:themeColor="text1"/>
        </w:rPr>
      </w:pPr>
    </w:p>
    <w:p w14:paraId="69FFC445" w14:textId="77777777" w:rsidR="00B81F20" w:rsidRDefault="00B81F20" w:rsidP="4ECFA37E">
      <w:pPr>
        <w:spacing w:line="360" w:lineRule="auto"/>
        <w:rPr>
          <w:rFonts w:ascii="Times New Roman" w:hAnsi="Times New Roman" w:cs="Times New Roman"/>
          <w:b/>
          <w:bCs/>
          <w:color w:val="000000" w:themeColor="text1"/>
        </w:rPr>
      </w:pPr>
    </w:p>
    <w:p w14:paraId="31237D35" w14:textId="77777777" w:rsidR="00B81F20" w:rsidRDefault="00B81F20" w:rsidP="4ECFA37E">
      <w:pPr>
        <w:spacing w:line="360" w:lineRule="auto"/>
        <w:rPr>
          <w:rFonts w:ascii="Times New Roman" w:hAnsi="Times New Roman" w:cs="Times New Roman"/>
          <w:b/>
          <w:bCs/>
          <w:color w:val="000000" w:themeColor="text1"/>
        </w:rPr>
      </w:pPr>
    </w:p>
    <w:p w14:paraId="11DDDA4B" w14:textId="77777777" w:rsidR="00B81F20" w:rsidRDefault="00B81F20" w:rsidP="4ECFA37E">
      <w:pPr>
        <w:spacing w:line="360" w:lineRule="auto"/>
        <w:rPr>
          <w:rFonts w:ascii="Times New Roman" w:hAnsi="Times New Roman" w:cs="Times New Roman"/>
          <w:b/>
          <w:bCs/>
          <w:color w:val="000000" w:themeColor="text1"/>
        </w:rPr>
      </w:pPr>
    </w:p>
    <w:p w14:paraId="1994C56B" w14:textId="77777777" w:rsidR="002C7343" w:rsidRDefault="002C7343" w:rsidP="4ECFA37E">
      <w:pPr>
        <w:spacing w:line="360" w:lineRule="auto"/>
        <w:rPr>
          <w:rFonts w:ascii="Times New Roman" w:hAnsi="Times New Roman" w:cs="Times New Roman"/>
          <w:b/>
          <w:bCs/>
          <w:color w:val="000000" w:themeColor="text1"/>
        </w:rPr>
      </w:pPr>
    </w:p>
    <w:p w14:paraId="0B725DA4" w14:textId="77777777" w:rsidR="00EF221B" w:rsidRPr="002C7343" w:rsidRDefault="00EF221B" w:rsidP="4ECFA37E">
      <w:pPr>
        <w:spacing w:line="360" w:lineRule="auto"/>
        <w:rPr>
          <w:rFonts w:ascii="Verdana" w:hAnsi="Verdana"/>
          <w:b/>
          <w:bCs/>
          <w:color w:val="000000"/>
        </w:rPr>
      </w:pPr>
    </w:p>
    <w:p w14:paraId="452C9ABE" w14:textId="474E297C" w:rsidR="009A1070" w:rsidRDefault="4C38B516" w:rsidP="4C38B516">
      <w:pPr>
        <w:spacing w:line="240" w:lineRule="auto"/>
        <w:jc w:val="center"/>
        <w:rPr>
          <w:rFonts w:ascii="Times New Roman" w:hAnsi="Times New Roman" w:cs="Times New Roman"/>
        </w:rPr>
      </w:pPr>
      <w:r w:rsidRPr="4C38B516">
        <w:rPr>
          <w:rFonts w:ascii="Times New Roman" w:hAnsi="Times New Roman" w:cs="Times New Roman"/>
        </w:rPr>
        <w:lastRenderedPageBreak/>
        <w:t xml:space="preserve">Bibliografía: </w:t>
      </w:r>
    </w:p>
    <w:p w14:paraId="3C746B33" w14:textId="522A14AD" w:rsidR="4C38B516" w:rsidRDefault="4C38B516" w:rsidP="4C38B516">
      <w:pPr>
        <w:spacing w:after="0" w:line="480" w:lineRule="auto"/>
        <w:ind w:left="720" w:hanging="720"/>
        <w:rPr>
          <w:rFonts w:ascii="Times New Roman" w:eastAsia="Times New Roman" w:hAnsi="Times New Roman" w:cs="Times New Roman"/>
        </w:rPr>
      </w:pPr>
      <w:r w:rsidRPr="4C38B516">
        <w:rPr>
          <w:rFonts w:ascii="Times New Roman" w:eastAsia="Times New Roman" w:hAnsi="Times New Roman" w:cs="Times New Roman"/>
          <w:i/>
          <w:iCs/>
        </w:rPr>
        <w:t>Escuela y comunidad. Desafíos para la inclusión educativa</w:t>
      </w:r>
      <w:r w:rsidRPr="4C38B516">
        <w:rPr>
          <w:rFonts w:ascii="Times New Roman" w:eastAsia="Times New Roman" w:hAnsi="Times New Roman" w:cs="Times New Roman"/>
        </w:rPr>
        <w:t xml:space="preserve">. (2006). Recuperado 24 de mayo de 2024, de </w:t>
      </w:r>
      <w:hyperlink r:id="rId7">
        <w:r w:rsidRPr="4C38B516">
          <w:rPr>
            <w:rStyle w:val="Hipervnculo"/>
            <w:rFonts w:ascii="Times New Roman" w:eastAsia="Times New Roman" w:hAnsi="Times New Roman" w:cs="Times New Roman"/>
            <w:color w:val="467886"/>
          </w:rPr>
          <w:t>http://www.bnm.me.gov.ar/giga1/documentos/EL005385.pdf</w:t>
        </w:r>
      </w:hyperlink>
    </w:p>
    <w:p w14:paraId="2051E42B" w14:textId="0F350680" w:rsidR="009A1070" w:rsidRDefault="4C38B516" w:rsidP="009A1070">
      <w:pPr>
        <w:spacing w:line="240" w:lineRule="auto"/>
        <w:rPr>
          <w:rFonts w:ascii="Times New Roman" w:hAnsi="Times New Roman" w:cs="Times New Roman"/>
        </w:rPr>
      </w:pPr>
      <w:r w:rsidRPr="4C38B516">
        <w:rPr>
          <w:rFonts w:ascii="Times New Roman" w:hAnsi="Times New Roman" w:cs="Times New Roman"/>
        </w:rPr>
        <w:t xml:space="preserve">OCED (s/f) Síntesis: Diez Pasos Hacia la Equidad en la Educación, disponible en: </w:t>
      </w:r>
      <w:r w:rsidR="009A1070">
        <w:tab/>
      </w:r>
      <w:r w:rsidR="009A1070">
        <w:tab/>
      </w:r>
      <w:hyperlink r:id="rId8">
        <w:r w:rsidRPr="4C38B516">
          <w:rPr>
            <w:rStyle w:val="Hipervnculo"/>
            <w:rFonts w:ascii="Times New Roman" w:hAnsi="Times New Roman" w:cs="Times New Roman"/>
          </w:rPr>
          <w:t>https://www.oecd.org/education/school/40043349.pdf</w:t>
        </w:r>
      </w:hyperlink>
    </w:p>
    <w:p w14:paraId="3E44AD45" w14:textId="75726B4D" w:rsidR="009A1070" w:rsidRDefault="4C38B516" w:rsidP="009A1070">
      <w:pPr>
        <w:spacing w:line="240" w:lineRule="auto"/>
        <w:rPr>
          <w:rFonts w:ascii="Times New Roman" w:hAnsi="Times New Roman" w:cs="Times New Roman"/>
        </w:rPr>
      </w:pPr>
      <w:r w:rsidRPr="4C38B516">
        <w:rPr>
          <w:rFonts w:ascii="Times New Roman" w:hAnsi="Times New Roman" w:cs="Times New Roman"/>
        </w:rPr>
        <w:t xml:space="preserve">Simón, C., </w:t>
      </w:r>
      <w:proofErr w:type="spellStart"/>
      <w:r w:rsidRPr="4C38B516">
        <w:rPr>
          <w:rFonts w:ascii="Times New Roman" w:hAnsi="Times New Roman" w:cs="Times New Roman"/>
        </w:rPr>
        <w:t>Giné</w:t>
      </w:r>
      <w:proofErr w:type="spellEnd"/>
      <w:r w:rsidRPr="4C38B516">
        <w:rPr>
          <w:rFonts w:ascii="Times New Roman" w:hAnsi="Times New Roman" w:cs="Times New Roman"/>
        </w:rPr>
        <w:t xml:space="preserve">, C., &amp; Echeita, G. (2016). Escuela, Familia y Comunidad: Construyendo </w:t>
      </w:r>
      <w:r w:rsidR="009A1070">
        <w:tab/>
      </w:r>
      <w:r w:rsidRPr="4C38B516">
        <w:rPr>
          <w:rFonts w:ascii="Times New Roman" w:hAnsi="Times New Roman" w:cs="Times New Roman"/>
        </w:rPr>
        <w:t xml:space="preserve">Alianzas para Promover la Inclusión. Revista latinoamericana de educación </w:t>
      </w:r>
      <w:r w:rsidR="009A1070">
        <w:tab/>
      </w:r>
      <w:r w:rsidR="009A1070">
        <w:tab/>
      </w:r>
      <w:r w:rsidRPr="4C38B516">
        <w:rPr>
          <w:rFonts w:ascii="Times New Roman" w:hAnsi="Times New Roman" w:cs="Times New Roman"/>
        </w:rPr>
        <w:t>inclusiva, 10(1), 25-421</w:t>
      </w:r>
    </w:p>
    <w:p w14:paraId="727AD61B" w14:textId="37F58E85" w:rsidR="009A1070" w:rsidRPr="009A1070" w:rsidRDefault="0FF70CD4" w:rsidP="0FF70CD4">
      <w:pPr>
        <w:spacing w:line="240" w:lineRule="auto"/>
        <w:rPr>
          <w:rFonts w:ascii="Times New Roman" w:hAnsi="Times New Roman" w:cs="Times New Roman"/>
        </w:rPr>
      </w:pPr>
      <w:r w:rsidRPr="0FF70CD4">
        <w:rPr>
          <w:rFonts w:ascii="Times New Roman" w:hAnsi="Times New Roman" w:cs="Times New Roman"/>
        </w:rPr>
        <w:t xml:space="preserve">Ainscow, M., &amp; Booth, T. (2002). Index for </w:t>
      </w:r>
      <w:proofErr w:type="spellStart"/>
      <w:r w:rsidRPr="0FF70CD4">
        <w:rPr>
          <w:rFonts w:ascii="Times New Roman" w:hAnsi="Times New Roman" w:cs="Times New Roman"/>
        </w:rPr>
        <w:t>Inclusion</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Developing</w:t>
      </w:r>
      <w:proofErr w:type="spellEnd"/>
      <w:r w:rsidRPr="0FF70CD4">
        <w:rPr>
          <w:rFonts w:ascii="Times New Roman" w:hAnsi="Times New Roman" w:cs="Times New Roman"/>
        </w:rPr>
        <w:t xml:space="preserve"> Learning and </w:t>
      </w:r>
      <w:proofErr w:type="spellStart"/>
      <w:r w:rsidRPr="0FF70CD4">
        <w:rPr>
          <w:rFonts w:ascii="Times New Roman" w:hAnsi="Times New Roman" w:cs="Times New Roman"/>
        </w:rPr>
        <w:t>Participation</w:t>
      </w:r>
      <w:proofErr w:type="spellEnd"/>
      <w:r w:rsidRPr="0FF70CD4">
        <w:rPr>
          <w:rFonts w:ascii="Times New Roman" w:hAnsi="Times New Roman" w:cs="Times New Roman"/>
        </w:rPr>
        <w:t xml:space="preserve"> in Schools.</w:t>
      </w:r>
    </w:p>
    <w:p w14:paraId="7D5AB880" w14:textId="55437289" w:rsidR="009A1070" w:rsidRPr="009A1070" w:rsidRDefault="0FF70CD4" w:rsidP="0FF70CD4">
      <w:pPr>
        <w:spacing w:line="240" w:lineRule="auto"/>
      </w:pPr>
      <w:r w:rsidRPr="0FF70CD4">
        <w:rPr>
          <w:rFonts w:ascii="Times New Roman" w:hAnsi="Times New Roman" w:cs="Times New Roman"/>
        </w:rPr>
        <w:t>Schmelkes, S. (2013). Educación intercultural en América Latina: avances y desafíos. Revista Mexicana de Investigación Educativa, 18(57), 13-36.</w:t>
      </w:r>
    </w:p>
    <w:p w14:paraId="61B3AF28" w14:textId="5A6ED0E6" w:rsidR="009A1070" w:rsidRPr="009A1070" w:rsidRDefault="0FF70CD4" w:rsidP="0FF70CD4">
      <w:pPr>
        <w:spacing w:line="240" w:lineRule="auto"/>
      </w:pPr>
      <w:r w:rsidRPr="0FF70CD4">
        <w:rPr>
          <w:rFonts w:ascii="Times New Roman" w:hAnsi="Times New Roman" w:cs="Times New Roman"/>
        </w:rPr>
        <w:t>Walsh, C. (2009). Interculturalidad crítica y educación intercultural. En "Interculturalidad, educación y política: debates y desafíos".</w:t>
      </w:r>
    </w:p>
    <w:p w14:paraId="615946B4" w14:textId="41F4038C" w:rsidR="009A1070" w:rsidRPr="009A1070" w:rsidRDefault="009A1070" w:rsidP="009A1070">
      <w:pPr>
        <w:spacing w:line="240" w:lineRule="auto"/>
        <w:rPr>
          <w:rFonts w:ascii="Times New Roman" w:hAnsi="Times New Roman" w:cs="Times New Roman"/>
        </w:rPr>
      </w:pPr>
    </w:p>
    <w:p w14:paraId="6E9EAF5F" w14:textId="42594005" w:rsidR="002C7007" w:rsidRDefault="4737FB6D" w:rsidP="00AD55A9">
      <w:pPr>
        <w:spacing w:line="240" w:lineRule="auto"/>
        <w:rPr>
          <w:rFonts w:ascii="Times New Roman" w:eastAsia="Times New Roman" w:hAnsi="Times New Roman" w:cs="Times New Roman"/>
        </w:rPr>
      </w:pPr>
      <w:r w:rsidRPr="4737FB6D">
        <w:rPr>
          <w:rFonts w:ascii="Times New Roman" w:eastAsia="Times New Roman" w:hAnsi="Times New Roman" w:cs="Times New Roman"/>
        </w:rPr>
        <w:t xml:space="preserve">De la Cruz Flores, G. (2017). Igualdad y equidad en educación: tensiones y transiciones. Educación, 26(51), 159-174, disponible en: </w:t>
      </w:r>
      <w:hyperlink r:id="rId9" w:history="1">
        <w:r w:rsidR="004A1223" w:rsidRPr="00EB6735">
          <w:rPr>
            <w:rStyle w:val="Hipervnculo"/>
            <w:rFonts w:ascii="Times New Roman" w:eastAsia="Times New Roman" w:hAnsi="Times New Roman" w:cs="Times New Roman"/>
          </w:rPr>
          <w:t>https://revistas.pucp.edu.pe/index.php/educacion/article/view/19290/194 33</w:t>
        </w:r>
      </w:hyperlink>
      <w:r w:rsidRPr="4737FB6D">
        <w:rPr>
          <w:rFonts w:ascii="Times New Roman" w:eastAsia="Times New Roman" w:hAnsi="Times New Roman" w:cs="Times New Roman"/>
        </w:rPr>
        <w:t xml:space="preserve"> </w:t>
      </w:r>
    </w:p>
    <w:p w14:paraId="34A4BD34" w14:textId="77777777" w:rsidR="002C43E7" w:rsidRDefault="002C43E7" w:rsidP="00AD55A9">
      <w:pPr>
        <w:spacing w:line="240" w:lineRule="auto"/>
        <w:rPr>
          <w:rFonts w:ascii="Times New Roman" w:eastAsia="Times New Roman" w:hAnsi="Times New Roman" w:cs="Times New Roman"/>
        </w:rPr>
      </w:pPr>
    </w:p>
    <w:p w14:paraId="2E7666D8" w14:textId="21E04ADD" w:rsidR="004A1223" w:rsidRDefault="00527BA2" w:rsidP="00AD55A9">
      <w:pPr>
        <w:spacing w:line="240" w:lineRule="auto"/>
      </w:pPr>
      <w:r>
        <w:t xml:space="preserve">Aguiar Aguiar, G., </w:t>
      </w:r>
      <w:proofErr w:type="spellStart"/>
      <w:r>
        <w:t>Demothenes</w:t>
      </w:r>
      <w:proofErr w:type="spellEnd"/>
      <w:r>
        <w:t xml:space="preserve"> </w:t>
      </w:r>
      <w:proofErr w:type="spellStart"/>
      <w:r>
        <w:t>Sterling</w:t>
      </w:r>
      <w:proofErr w:type="spellEnd"/>
      <w:r>
        <w:t xml:space="preserve">, Y., &amp; Campos Valdés, I. (2020). La participación familiar en la inclusión socioeducativa de los educandos con necesidades educativas especiales. Revista </w:t>
      </w:r>
      <w:proofErr w:type="spellStart"/>
      <w:r>
        <w:t>MENDIVE</w:t>
      </w:r>
      <w:proofErr w:type="spellEnd"/>
      <w:r>
        <w:t xml:space="preserve">, 18(1), 120–133. </w:t>
      </w:r>
      <w:hyperlink r:id="rId10" w:history="1">
        <w:r w:rsidR="003A0E95" w:rsidRPr="00EB6735">
          <w:rPr>
            <w:rStyle w:val="Hipervnculo"/>
          </w:rPr>
          <w:t>http://scielo.sld.cu/scielo.php?script=sci_arttext&amp;pid=S1815-76962020000100120</w:t>
        </w:r>
      </w:hyperlink>
    </w:p>
    <w:p w14:paraId="4C12CE31" w14:textId="769A9DA2" w:rsidR="002C7007" w:rsidRPr="002C7007" w:rsidRDefault="002C7007" w:rsidP="00AD55A9">
      <w:pPr>
        <w:spacing w:line="240" w:lineRule="auto"/>
      </w:pPr>
    </w:p>
    <w:sectPr w:rsidR="002C7007" w:rsidRPr="002C700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68A8" w14:textId="77777777" w:rsidR="00904F13" w:rsidRDefault="00904F13" w:rsidP="00904F13">
      <w:pPr>
        <w:spacing w:after="0" w:line="240" w:lineRule="auto"/>
      </w:pPr>
      <w:r>
        <w:separator/>
      </w:r>
    </w:p>
  </w:endnote>
  <w:endnote w:type="continuationSeparator" w:id="0">
    <w:p w14:paraId="0A50EF96" w14:textId="77777777" w:rsidR="00904F13" w:rsidRDefault="00904F13" w:rsidP="00904F13">
      <w:pPr>
        <w:spacing w:after="0" w:line="240" w:lineRule="auto"/>
      </w:pPr>
      <w:r>
        <w:continuationSeparator/>
      </w:r>
    </w:p>
  </w:endnote>
  <w:endnote w:type="continuationNotice" w:id="1">
    <w:p w14:paraId="5A5E35FE" w14:textId="77777777" w:rsidR="00904F13" w:rsidRDefault="00904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Yu Mincho">
    <w:panose1 w:val="02020400000000000000"/>
    <w:charset w:val="80"/>
    <w:family w:val="roman"/>
    <w:notTrueType/>
    <w:pitch w:val="variable"/>
    <w:sig w:usb0="800002E7" w:usb1="2AC7FCFF" w:usb2="00000012" w:usb3="00000000" w:csb0="0002009F" w:csb1="00000000"/>
  </w:font>
  <w:font w:name="UICTFontTextStyleBody">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stem-ui">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45F5782" w14:paraId="199AB9D6" w14:textId="77777777" w:rsidTr="245F5782">
      <w:trPr>
        <w:trHeight w:val="300"/>
      </w:trPr>
      <w:tc>
        <w:tcPr>
          <w:tcW w:w="2945" w:type="dxa"/>
        </w:tcPr>
        <w:p w14:paraId="6E1C4335" w14:textId="00B8FBEF" w:rsidR="245F5782" w:rsidRDefault="245F5782" w:rsidP="245F5782">
          <w:pPr>
            <w:pStyle w:val="Encabezado"/>
            <w:ind w:left="-115"/>
          </w:pPr>
        </w:p>
      </w:tc>
      <w:tc>
        <w:tcPr>
          <w:tcW w:w="2945" w:type="dxa"/>
        </w:tcPr>
        <w:p w14:paraId="0EB2DE70" w14:textId="38D7E81F" w:rsidR="245F5782" w:rsidRDefault="245F5782" w:rsidP="245F5782">
          <w:pPr>
            <w:pStyle w:val="Encabezado"/>
            <w:jc w:val="center"/>
          </w:pPr>
        </w:p>
      </w:tc>
      <w:tc>
        <w:tcPr>
          <w:tcW w:w="2945" w:type="dxa"/>
        </w:tcPr>
        <w:p w14:paraId="25EA1000" w14:textId="649EAF47" w:rsidR="245F5782" w:rsidRDefault="245F5782" w:rsidP="245F5782">
          <w:pPr>
            <w:pStyle w:val="Encabezado"/>
            <w:ind w:right="-115"/>
            <w:jc w:val="right"/>
          </w:pPr>
        </w:p>
      </w:tc>
    </w:tr>
  </w:tbl>
  <w:p w14:paraId="561FEB3F" w14:textId="5AA5D342" w:rsidR="00904F13" w:rsidRDefault="00904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0670" w14:textId="77777777" w:rsidR="00904F13" w:rsidRDefault="00904F13" w:rsidP="00904F13">
      <w:pPr>
        <w:spacing w:after="0" w:line="240" w:lineRule="auto"/>
      </w:pPr>
      <w:r>
        <w:separator/>
      </w:r>
    </w:p>
  </w:footnote>
  <w:footnote w:type="continuationSeparator" w:id="0">
    <w:p w14:paraId="784C7134" w14:textId="77777777" w:rsidR="00904F13" w:rsidRDefault="00904F13" w:rsidP="00904F13">
      <w:pPr>
        <w:spacing w:after="0" w:line="240" w:lineRule="auto"/>
      </w:pPr>
      <w:r>
        <w:continuationSeparator/>
      </w:r>
    </w:p>
  </w:footnote>
  <w:footnote w:type="continuationNotice" w:id="1">
    <w:p w14:paraId="36E7A849" w14:textId="77777777" w:rsidR="00904F13" w:rsidRDefault="00904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45F5782" w14:paraId="3FC01838" w14:textId="77777777" w:rsidTr="245F5782">
      <w:trPr>
        <w:trHeight w:val="300"/>
      </w:trPr>
      <w:tc>
        <w:tcPr>
          <w:tcW w:w="2945" w:type="dxa"/>
        </w:tcPr>
        <w:p w14:paraId="1FD058EF" w14:textId="27981B0F" w:rsidR="245F5782" w:rsidRDefault="245F5782" w:rsidP="245F5782">
          <w:pPr>
            <w:pStyle w:val="Encabezado"/>
            <w:ind w:left="-115"/>
          </w:pPr>
        </w:p>
      </w:tc>
      <w:tc>
        <w:tcPr>
          <w:tcW w:w="2945" w:type="dxa"/>
        </w:tcPr>
        <w:p w14:paraId="70EA3245" w14:textId="795F09F9" w:rsidR="245F5782" w:rsidRDefault="245F5782" w:rsidP="245F5782">
          <w:pPr>
            <w:pStyle w:val="Encabezado"/>
            <w:jc w:val="center"/>
          </w:pPr>
        </w:p>
      </w:tc>
      <w:tc>
        <w:tcPr>
          <w:tcW w:w="2945" w:type="dxa"/>
        </w:tcPr>
        <w:p w14:paraId="7E2BF244" w14:textId="62D77F73" w:rsidR="245F5782" w:rsidRDefault="245F5782" w:rsidP="245F5782">
          <w:pPr>
            <w:pStyle w:val="Encabezado"/>
            <w:ind w:right="-115"/>
            <w:jc w:val="right"/>
          </w:pPr>
        </w:p>
      </w:tc>
    </w:tr>
  </w:tbl>
  <w:p w14:paraId="43BB759B" w14:textId="1E543C63" w:rsidR="00904F13" w:rsidRDefault="00904F13">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1Ly0b8h3" int2:invalidationBookmarkName="" int2:hashCode="YTwR7gUcL19bby" int2:id="WCmD4nOY">
      <int2:state int2:value="Rejected" int2:type="AugLoop_Text_Critique"/>
    </int2:bookmark>
    <int2:bookmark int2:bookmarkName="_Int_kaINBWyf" int2:invalidationBookmarkName="" int2:hashCode="FmUOmfZBSA7tmw" int2:id="Y5gfUOuG">
      <int2:state int2:value="Rejected" int2:type="AugLoop_Text_Critique"/>
    </int2:bookmark>
    <int2:bookmark int2:bookmarkName="_Int_2yttijQZ" int2:invalidationBookmarkName="" int2:hashCode="b4QANOTiSLFGm5" int2:id="drYvcMak">
      <int2:state int2:value="Rejected" int2:type="AugLoop_Text_Critique"/>
    </int2:bookmark>
    <int2:bookmark int2:bookmarkName="_Int_TCNzmSwX" int2:invalidationBookmarkName="" int2:hashCode="hbmGLRZpSecd+R" int2:id="gb6qvHNL">
      <int2:state int2:value="Rejected" int2:type="AugLoop_Text_Critique"/>
    </int2:bookmark>
    <int2:bookmark int2:bookmarkName="_Int_rg6p0mcN" int2:invalidationBookmarkName="" int2:hashCode="NBhk7G0vP8nzJE" int2:id="p4zLd7C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0A"/>
    <w:rsid w:val="000471B0"/>
    <w:rsid w:val="000608EF"/>
    <w:rsid w:val="00084C7E"/>
    <w:rsid w:val="00096037"/>
    <w:rsid w:val="000B1545"/>
    <w:rsid w:val="000C003F"/>
    <w:rsid w:val="000C25E7"/>
    <w:rsid w:val="000D0F96"/>
    <w:rsid w:val="00162EC4"/>
    <w:rsid w:val="001C6140"/>
    <w:rsid w:val="001D3556"/>
    <w:rsid w:val="002549C3"/>
    <w:rsid w:val="00262929"/>
    <w:rsid w:val="00291BF0"/>
    <w:rsid w:val="002A480E"/>
    <w:rsid w:val="002C43E7"/>
    <w:rsid w:val="002C7007"/>
    <w:rsid w:val="002C7343"/>
    <w:rsid w:val="002D236F"/>
    <w:rsid w:val="002F08BA"/>
    <w:rsid w:val="0031469E"/>
    <w:rsid w:val="003428DD"/>
    <w:rsid w:val="00361CC9"/>
    <w:rsid w:val="00386F7B"/>
    <w:rsid w:val="003A0E95"/>
    <w:rsid w:val="003E6F8A"/>
    <w:rsid w:val="0047099E"/>
    <w:rsid w:val="004728C2"/>
    <w:rsid w:val="004A1223"/>
    <w:rsid w:val="004A49B1"/>
    <w:rsid w:val="004F1522"/>
    <w:rsid w:val="00527BA2"/>
    <w:rsid w:val="00535118"/>
    <w:rsid w:val="00547C4E"/>
    <w:rsid w:val="005643A5"/>
    <w:rsid w:val="005867B4"/>
    <w:rsid w:val="00593422"/>
    <w:rsid w:val="0059404F"/>
    <w:rsid w:val="005A3925"/>
    <w:rsid w:val="00623EA3"/>
    <w:rsid w:val="006345F5"/>
    <w:rsid w:val="006A1696"/>
    <w:rsid w:val="006E76D1"/>
    <w:rsid w:val="00731423"/>
    <w:rsid w:val="00731515"/>
    <w:rsid w:val="007801BE"/>
    <w:rsid w:val="0078175A"/>
    <w:rsid w:val="007B6450"/>
    <w:rsid w:val="007C2885"/>
    <w:rsid w:val="008131BD"/>
    <w:rsid w:val="00836FAE"/>
    <w:rsid w:val="00862EBE"/>
    <w:rsid w:val="008A7F8B"/>
    <w:rsid w:val="008C0158"/>
    <w:rsid w:val="008C27F5"/>
    <w:rsid w:val="008C5405"/>
    <w:rsid w:val="00904F13"/>
    <w:rsid w:val="00930C55"/>
    <w:rsid w:val="00934289"/>
    <w:rsid w:val="00946BA9"/>
    <w:rsid w:val="00961554"/>
    <w:rsid w:val="00973EB5"/>
    <w:rsid w:val="009906C2"/>
    <w:rsid w:val="009A1070"/>
    <w:rsid w:val="009A3A7E"/>
    <w:rsid w:val="009A7E08"/>
    <w:rsid w:val="009C178F"/>
    <w:rsid w:val="009C2ECA"/>
    <w:rsid w:val="009F3D24"/>
    <w:rsid w:val="00A011C7"/>
    <w:rsid w:val="00A05492"/>
    <w:rsid w:val="00A4577C"/>
    <w:rsid w:val="00AC0D30"/>
    <w:rsid w:val="00AC49BB"/>
    <w:rsid w:val="00AD55A9"/>
    <w:rsid w:val="00AE4CEA"/>
    <w:rsid w:val="00AE73C0"/>
    <w:rsid w:val="00B10115"/>
    <w:rsid w:val="00B611DC"/>
    <w:rsid w:val="00B66698"/>
    <w:rsid w:val="00B71700"/>
    <w:rsid w:val="00B73086"/>
    <w:rsid w:val="00B77E7E"/>
    <w:rsid w:val="00B81F20"/>
    <w:rsid w:val="00B861B7"/>
    <w:rsid w:val="00BA36CF"/>
    <w:rsid w:val="00BA3F66"/>
    <w:rsid w:val="00BC4C8F"/>
    <w:rsid w:val="00C32F3D"/>
    <w:rsid w:val="00C33FB6"/>
    <w:rsid w:val="00C6580A"/>
    <w:rsid w:val="00C75123"/>
    <w:rsid w:val="00C91D91"/>
    <w:rsid w:val="00CB0249"/>
    <w:rsid w:val="00CC063D"/>
    <w:rsid w:val="00CC39FF"/>
    <w:rsid w:val="00CE6158"/>
    <w:rsid w:val="00D0004A"/>
    <w:rsid w:val="00D141EA"/>
    <w:rsid w:val="00D17826"/>
    <w:rsid w:val="00D56D3E"/>
    <w:rsid w:val="00D679F1"/>
    <w:rsid w:val="00DE7F65"/>
    <w:rsid w:val="00DF15B1"/>
    <w:rsid w:val="00E142D0"/>
    <w:rsid w:val="00E24C26"/>
    <w:rsid w:val="00E250EC"/>
    <w:rsid w:val="00E51C2B"/>
    <w:rsid w:val="00E70964"/>
    <w:rsid w:val="00E8694E"/>
    <w:rsid w:val="00E9182F"/>
    <w:rsid w:val="00ED4706"/>
    <w:rsid w:val="00EF221B"/>
    <w:rsid w:val="00F11228"/>
    <w:rsid w:val="00F26D82"/>
    <w:rsid w:val="00F47434"/>
    <w:rsid w:val="00F61F49"/>
    <w:rsid w:val="00F63056"/>
    <w:rsid w:val="00F7285E"/>
    <w:rsid w:val="00F83A82"/>
    <w:rsid w:val="00FC524F"/>
    <w:rsid w:val="00FC5A33"/>
    <w:rsid w:val="00FF12D1"/>
    <w:rsid w:val="00FF361C"/>
    <w:rsid w:val="0FF70CD4"/>
    <w:rsid w:val="18D83D1B"/>
    <w:rsid w:val="1D7F1A90"/>
    <w:rsid w:val="245F5782"/>
    <w:rsid w:val="26497542"/>
    <w:rsid w:val="27F47897"/>
    <w:rsid w:val="2A55078F"/>
    <w:rsid w:val="2B3AEE67"/>
    <w:rsid w:val="2D831872"/>
    <w:rsid w:val="30D7E1EC"/>
    <w:rsid w:val="31634E21"/>
    <w:rsid w:val="399D3321"/>
    <w:rsid w:val="4737FB6D"/>
    <w:rsid w:val="489A8A1A"/>
    <w:rsid w:val="4C38B516"/>
    <w:rsid w:val="4ECFA37E"/>
    <w:rsid w:val="557EC597"/>
    <w:rsid w:val="67400557"/>
    <w:rsid w:val="75AAD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A6D"/>
  <w15:chartTrackingRefBased/>
  <w15:docId w15:val="{B2485FB8-8A24-4E46-8CCA-057E6F0A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5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58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58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58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58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58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58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58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58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58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58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58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58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58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58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58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580A"/>
    <w:rPr>
      <w:rFonts w:eastAsiaTheme="majorEastAsia" w:cstheme="majorBidi"/>
      <w:color w:val="272727" w:themeColor="text1" w:themeTint="D8"/>
    </w:rPr>
  </w:style>
  <w:style w:type="paragraph" w:styleId="Ttulo">
    <w:name w:val="Title"/>
    <w:basedOn w:val="Normal"/>
    <w:next w:val="Normal"/>
    <w:link w:val="TtuloCar"/>
    <w:uiPriority w:val="10"/>
    <w:qFormat/>
    <w:rsid w:val="00C65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58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58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58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580A"/>
    <w:pPr>
      <w:spacing w:before="160"/>
      <w:jc w:val="center"/>
    </w:pPr>
    <w:rPr>
      <w:i/>
      <w:iCs/>
      <w:color w:val="404040" w:themeColor="text1" w:themeTint="BF"/>
    </w:rPr>
  </w:style>
  <w:style w:type="character" w:customStyle="1" w:styleId="CitaCar">
    <w:name w:val="Cita Car"/>
    <w:basedOn w:val="Fuentedeprrafopredeter"/>
    <w:link w:val="Cita"/>
    <w:uiPriority w:val="29"/>
    <w:rsid w:val="00C6580A"/>
    <w:rPr>
      <w:i/>
      <w:iCs/>
      <w:color w:val="404040" w:themeColor="text1" w:themeTint="BF"/>
    </w:rPr>
  </w:style>
  <w:style w:type="paragraph" w:styleId="Prrafodelista">
    <w:name w:val="List Paragraph"/>
    <w:basedOn w:val="Normal"/>
    <w:uiPriority w:val="34"/>
    <w:qFormat/>
    <w:rsid w:val="00C6580A"/>
    <w:pPr>
      <w:ind w:left="720"/>
      <w:contextualSpacing/>
    </w:pPr>
  </w:style>
  <w:style w:type="character" w:styleId="nfasisintenso">
    <w:name w:val="Intense Emphasis"/>
    <w:basedOn w:val="Fuentedeprrafopredeter"/>
    <w:uiPriority w:val="21"/>
    <w:qFormat/>
    <w:rsid w:val="00C6580A"/>
    <w:rPr>
      <w:i/>
      <w:iCs/>
      <w:color w:val="0F4761" w:themeColor="accent1" w:themeShade="BF"/>
    </w:rPr>
  </w:style>
  <w:style w:type="paragraph" w:styleId="Citadestacada">
    <w:name w:val="Intense Quote"/>
    <w:basedOn w:val="Normal"/>
    <w:next w:val="Normal"/>
    <w:link w:val="CitadestacadaCar"/>
    <w:uiPriority w:val="30"/>
    <w:qFormat/>
    <w:rsid w:val="00C6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580A"/>
    <w:rPr>
      <w:i/>
      <w:iCs/>
      <w:color w:val="0F4761" w:themeColor="accent1" w:themeShade="BF"/>
    </w:rPr>
  </w:style>
  <w:style w:type="character" w:styleId="Referenciaintensa">
    <w:name w:val="Intense Reference"/>
    <w:basedOn w:val="Fuentedeprrafopredeter"/>
    <w:uiPriority w:val="32"/>
    <w:qFormat/>
    <w:rsid w:val="00C6580A"/>
    <w:rPr>
      <w:b/>
      <w:bCs/>
      <w:smallCaps/>
      <w:color w:val="0F4761" w:themeColor="accent1" w:themeShade="BF"/>
      <w:spacing w:val="5"/>
    </w:rPr>
  </w:style>
  <w:style w:type="paragraph" w:customStyle="1" w:styleId="paragraph">
    <w:name w:val="paragraph"/>
    <w:basedOn w:val="Normal"/>
    <w:rsid w:val="00C6580A"/>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normaltextrun">
    <w:name w:val="normaltextrun"/>
    <w:basedOn w:val="Fuentedeprrafopredeter"/>
    <w:rsid w:val="00C6580A"/>
  </w:style>
  <w:style w:type="character" w:customStyle="1" w:styleId="eop">
    <w:name w:val="eop"/>
    <w:basedOn w:val="Fuentedeprrafopredeter"/>
    <w:rsid w:val="00C6580A"/>
  </w:style>
  <w:style w:type="character" w:customStyle="1" w:styleId="wacimagecontainer">
    <w:name w:val="wacimagecontainer"/>
    <w:basedOn w:val="Fuentedeprrafopredeter"/>
    <w:rsid w:val="00C6580A"/>
  </w:style>
  <w:style w:type="character" w:styleId="Textoennegrita">
    <w:name w:val="Strong"/>
    <w:basedOn w:val="Fuentedeprrafopredeter"/>
    <w:uiPriority w:val="22"/>
    <w:qFormat/>
    <w:rsid w:val="00C6580A"/>
    <w:rPr>
      <w:b/>
      <w:bCs/>
    </w:rPr>
  </w:style>
  <w:style w:type="character" w:styleId="Hipervnculo">
    <w:name w:val="Hyperlink"/>
    <w:basedOn w:val="Fuentedeprrafopredeter"/>
    <w:uiPriority w:val="99"/>
    <w:unhideWhenUsed/>
    <w:rsid w:val="009A1070"/>
    <w:rPr>
      <w:color w:val="467886" w:themeColor="hyperlink"/>
      <w:u w:val="single"/>
    </w:rPr>
  </w:style>
  <w:style w:type="character" w:styleId="Mencinsinresolver">
    <w:name w:val="Unresolved Mention"/>
    <w:basedOn w:val="Fuentedeprrafopredeter"/>
    <w:uiPriority w:val="99"/>
    <w:semiHidden/>
    <w:unhideWhenUsed/>
    <w:rsid w:val="009A1070"/>
    <w:rPr>
      <w:color w:val="605E5C"/>
      <w:shd w:val="clear" w:color="auto" w:fill="E1DFDD"/>
    </w:rPr>
  </w:style>
  <w:style w:type="paragraph" w:styleId="Encabezado">
    <w:name w:val="header"/>
    <w:basedOn w:val="Normal"/>
    <w:link w:val="EncabezadoCar"/>
    <w:uiPriority w:val="99"/>
    <w:unhideWhenUsed/>
    <w:rsid w:val="00904F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4F13"/>
  </w:style>
  <w:style w:type="paragraph" w:styleId="Piedepgina">
    <w:name w:val="footer"/>
    <w:basedOn w:val="Normal"/>
    <w:link w:val="PiedepginaCar"/>
    <w:uiPriority w:val="99"/>
    <w:unhideWhenUsed/>
    <w:rsid w:val="00904F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4F13"/>
  </w:style>
  <w:style w:type="table" w:styleId="Tablaconcuadrcula">
    <w:name w:val="Table Grid"/>
    <w:basedOn w:val="Tablanormal"/>
    <w:uiPriority w:val="59"/>
    <w:rsid w:val="00904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A011C7"/>
    <w:pPr>
      <w:spacing w:after="0" w:line="240" w:lineRule="auto"/>
    </w:pPr>
    <w:rPr>
      <w:rFonts w:ascii=".AppleSystemUIFont" w:eastAsiaTheme="minorEastAsia" w:hAnsi=".AppleSystemUIFont" w:cs="Times New Roman"/>
      <w:kern w:val="0"/>
      <w:sz w:val="26"/>
      <w:szCs w:val="26"/>
      <w:lang w:val="es-US" w:eastAsia="es-ES"/>
      <w14:ligatures w14:val="none"/>
    </w:rPr>
  </w:style>
  <w:style w:type="paragraph" w:customStyle="1" w:styleId="p2">
    <w:name w:val="p2"/>
    <w:basedOn w:val="Normal"/>
    <w:rsid w:val="00A011C7"/>
    <w:pPr>
      <w:spacing w:after="0" w:line="240" w:lineRule="auto"/>
    </w:pPr>
    <w:rPr>
      <w:rFonts w:ascii=".AppleSystemUIFont" w:eastAsiaTheme="minorEastAsia" w:hAnsi=".AppleSystemUIFont" w:cs="Times New Roman"/>
      <w:kern w:val="0"/>
      <w:sz w:val="26"/>
      <w:szCs w:val="26"/>
      <w:lang w:val="es-US" w:eastAsia="es-ES"/>
      <w14:ligatures w14:val="none"/>
    </w:rPr>
  </w:style>
  <w:style w:type="character" w:customStyle="1" w:styleId="s1">
    <w:name w:val="s1"/>
    <w:basedOn w:val="Fuentedeprrafopredeter"/>
    <w:rsid w:val="00A011C7"/>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6152">
      <w:bodyDiv w:val="1"/>
      <w:marLeft w:val="0"/>
      <w:marRight w:val="0"/>
      <w:marTop w:val="0"/>
      <w:marBottom w:val="0"/>
      <w:divBdr>
        <w:top w:val="none" w:sz="0" w:space="0" w:color="auto"/>
        <w:left w:val="none" w:sz="0" w:space="0" w:color="auto"/>
        <w:bottom w:val="none" w:sz="0" w:space="0" w:color="auto"/>
        <w:right w:val="none" w:sz="0" w:space="0" w:color="auto"/>
      </w:divBdr>
    </w:div>
    <w:div w:id="423385004">
      <w:bodyDiv w:val="1"/>
      <w:marLeft w:val="0"/>
      <w:marRight w:val="0"/>
      <w:marTop w:val="0"/>
      <w:marBottom w:val="0"/>
      <w:divBdr>
        <w:top w:val="none" w:sz="0" w:space="0" w:color="auto"/>
        <w:left w:val="none" w:sz="0" w:space="0" w:color="auto"/>
        <w:bottom w:val="none" w:sz="0" w:space="0" w:color="auto"/>
        <w:right w:val="none" w:sz="0" w:space="0" w:color="auto"/>
      </w:divBdr>
    </w:div>
    <w:div w:id="554971973">
      <w:bodyDiv w:val="1"/>
      <w:marLeft w:val="0"/>
      <w:marRight w:val="0"/>
      <w:marTop w:val="0"/>
      <w:marBottom w:val="0"/>
      <w:divBdr>
        <w:top w:val="none" w:sz="0" w:space="0" w:color="auto"/>
        <w:left w:val="none" w:sz="0" w:space="0" w:color="auto"/>
        <w:bottom w:val="none" w:sz="0" w:space="0" w:color="auto"/>
        <w:right w:val="none" w:sz="0" w:space="0" w:color="auto"/>
      </w:divBdr>
    </w:div>
    <w:div w:id="612178419">
      <w:bodyDiv w:val="1"/>
      <w:marLeft w:val="0"/>
      <w:marRight w:val="0"/>
      <w:marTop w:val="0"/>
      <w:marBottom w:val="0"/>
      <w:divBdr>
        <w:top w:val="none" w:sz="0" w:space="0" w:color="auto"/>
        <w:left w:val="none" w:sz="0" w:space="0" w:color="auto"/>
        <w:bottom w:val="none" w:sz="0" w:space="0" w:color="auto"/>
        <w:right w:val="none" w:sz="0" w:space="0" w:color="auto"/>
      </w:divBdr>
    </w:div>
    <w:div w:id="1389109435">
      <w:bodyDiv w:val="1"/>
      <w:marLeft w:val="0"/>
      <w:marRight w:val="0"/>
      <w:marTop w:val="0"/>
      <w:marBottom w:val="0"/>
      <w:divBdr>
        <w:top w:val="none" w:sz="0" w:space="0" w:color="auto"/>
        <w:left w:val="none" w:sz="0" w:space="0" w:color="auto"/>
        <w:bottom w:val="none" w:sz="0" w:space="0" w:color="auto"/>
        <w:right w:val="none" w:sz="0" w:space="0" w:color="auto"/>
      </w:divBdr>
      <w:divsChild>
        <w:div w:id="669213695">
          <w:marLeft w:val="0"/>
          <w:marRight w:val="0"/>
          <w:marTop w:val="0"/>
          <w:marBottom w:val="0"/>
          <w:divBdr>
            <w:top w:val="none" w:sz="0" w:space="0" w:color="auto"/>
            <w:left w:val="none" w:sz="0" w:space="0" w:color="auto"/>
            <w:bottom w:val="none" w:sz="0" w:space="0" w:color="auto"/>
            <w:right w:val="none" w:sz="0" w:space="0" w:color="auto"/>
          </w:divBdr>
          <w:divsChild>
            <w:div w:id="1018040843">
              <w:marLeft w:val="0"/>
              <w:marRight w:val="0"/>
              <w:marTop w:val="0"/>
              <w:marBottom w:val="0"/>
              <w:divBdr>
                <w:top w:val="none" w:sz="0" w:space="0" w:color="auto"/>
                <w:left w:val="none" w:sz="0" w:space="0" w:color="auto"/>
                <w:bottom w:val="none" w:sz="0" w:space="0" w:color="auto"/>
                <w:right w:val="none" w:sz="0" w:space="0" w:color="auto"/>
              </w:divBdr>
              <w:divsChild>
                <w:div w:id="850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6758">
      <w:bodyDiv w:val="1"/>
      <w:marLeft w:val="0"/>
      <w:marRight w:val="0"/>
      <w:marTop w:val="0"/>
      <w:marBottom w:val="0"/>
      <w:divBdr>
        <w:top w:val="none" w:sz="0" w:space="0" w:color="auto"/>
        <w:left w:val="none" w:sz="0" w:space="0" w:color="auto"/>
        <w:bottom w:val="none" w:sz="0" w:space="0" w:color="auto"/>
        <w:right w:val="none" w:sz="0" w:space="0" w:color="auto"/>
      </w:divBdr>
      <w:divsChild>
        <w:div w:id="86967416">
          <w:marLeft w:val="0"/>
          <w:marRight w:val="0"/>
          <w:marTop w:val="0"/>
          <w:marBottom w:val="0"/>
          <w:divBdr>
            <w:top w:val="none" w:sz="0" w:space="0" w:color="auto"/>
            <w:left w:val="none" w:sz="0" w:space="0" w:color="auto"/>
            <w:bottom w:val="none" w:sz="0" w:space="0" w:color="auto"/>
            <w:right w:val="none" w:sz="0" w:space="0" w:color="auto"/>
          </w:divBdr>
        </w:div>
        <w:div w:id="189685304">
          <w:marLeft w:val="0"/>
          <w:marRight w:val="0"/>
          <w:marTop w:val="0"/>
          <w:marBottom w:val="0"/>
          <w:divBdr>
            <w:top w:val="none" w:sz="0" w:space="0" w:color="auto"/>
            <w:left w:val="none" w:sz="0" w:space="0" w:color="auto"/>
            <w:bottom w:val="none" w:sz="0" w:space="0" w:color="auto"/>
            <w:right w:val="none" w:sz="0" w:space="0" w:color="auto"/>
          </w:divBdr>
        </w:div>
        <w:div w:id="333995482">
          <w:marLeft w:val="0"/>
          <w:marRight w:val="0"/>
          <w:marTop w:val="0"/>
          <w:marBottom w:val="0"/>
          <w:divBdr>
            <w:top w:val="none" w:sz="0" w:space="0" w:color="auto"/>
            <w:left w:val="none" w:sz="0" w:space="0" w:color="auto"/>
            <w:bottom w:val="none" w:sz="0" w:space="0" w:color="auto"/>
            <w:right w:val="none" w:sz="0" w:space="0" w:color="auto"/>
          </w:divBdr>
        </w:div>
        <w:div w:id="601382566">
          <w:marLeft w:val="0"/>
          <w:marRight w:val="0"/>
          <w:marTop w:val="0"/>
          <w:marBottom w:val="0"/>
          <w:divBdr>
            <w:top w:val="none" w:sz="0" w:space="0" w:color="auto"/>
            <w:left w:val="none" w:sz="0" w:space="0" w:color="auto"/>
            <w:bottom w:val="none" w:sz="0" w:space="0" w:color="auto"/>
            <w:right w:val="none" w:sz="0" w:space="0" w:color="auto"/>
          </w:divBdr>
        </w:div>
        <w:div w:id="724452523">
          <w:marLeft w:val="0"/>
          <w:marRight w:val="0"/>
          <w:marTop w:val="0"/>
          <w:marBottom w:val="0"/>
          <w:divBdr>
            <w:top w:val="none" w:sz="0" w:space="0" w:color="auto"/>
            <w:left w:val="none" w:sz="0" w:space="0" w:color="auto"/>
            <w:bottom w:val="none" w:sz="0" w:space="0" w:color="auto"/>
            <w:right w:val="none" w:sz="0" w:space="0" w:color="auto"/>
          </w:divBdr>
        </w:div>
        <w:div w:id="765343067">
          <w:marLeft w:val="0"/>
          <w:marRight w:val="0"/>
          <w:marTop w:val="0"/>
          <w:marBottom w:val="0"/>
          <w:divBdr>
            <w:top w:val="none" w:sz="0" w:space="0" w:color="auto"/>
            <w:left w:val="none" w:sz="0" w:space="0" w:color="auto"/>
            <w:bottom w:val="none" w:sz="0" w:space="0" w:color="auto"/>
            <w:right w:val="none" w:sz="0" w:space="0" w:color="auto"/>
          </w:divBdr>
        </w:div>
        <w:div w:id="837622452">
          <w:marLeft w:val="0"/>
          <w:marRight w:val="0"/>
          <w:marTop w:val="0"/>
          <w:marBottom w:val="0"/>
          <w:divBdr>
            <w:top w:val="none" w:sz="0" w:space="0" w:color="auto"/>
            <w:left w:val="none" w:sz="0" w:space="0" w:color="auto"/>
            <w:bottom w:val="none" w:sz="0" w:space="0" w:color="auto"/>
            <w:right w:val="none" w:sz="0" w:space="0" w:color="auto"/>
          </w:divBdr>
        </w:div>
        <w:div w:id="893274360">
          <w:marLeft w:val="0"/>
          <w:marRight w:val="0"/>
          <w:marTop w:val="0"/>
          <w:marBottom w:val="0"/>
          <w:divBdr>
            <w:top w:val="none" w:sz="0" w:space="0" w:color="auto"/>
            <w:left w:val="none" w:sz="0" w:space="0" w:color="auto"/>
            <w:bottom w:val="none" w:sz="0" w:space="0" w:color="auto"/>
            <w:right w:val="none" w:sz="0" w:space="0" w:color="auto"/>
          </w:divBdr>
        </w:div>
        <w:div w:id="946346959">
          <w:marLeft w:val="0"/>
          <w:marRight w:val="0"/>
          <w:marTop w:val="0"/>
          <w:marBottom w:val="0"/>
          <w:divBdr>
            <w:top w:val="none" w:sz="0" w:space="0" w:color="auto"/>
            <w:left w:val="none" w:sz="0" w:space="0" w:color="auto"/>
            <w:bottom w:val="none" w:sz="0" w:space="0" w:color="auto"/>
            <w:right w:val="none" w:sz="0" w:space="0" w:color="auto"/>
          </w:divBdr>
        </w:div>
        <w:div w:id="1190098793">
          <w:marLeft w:val="0"/>
          <w:marRight w:val="0"/>
          <w:marTop w:val="0"/>
          <w:marBottom w:val="0"/>
          <w:divBdr>
            <w:top w:val="none" w:sz="0" w:space="0" w:color="auto"/>
            <w:left w:val="none" w:sz="0" w:space="0" w:color="auto"/>
            <w:bottom w:val="none" w:sz="0" w:space="0" w:color="auto"/>
            <w:right w:val="none" w:sz="0" w:space="0" w:color="auto"/>
          </w:divBdr>
        </w:div>
        <w:div w:id="1323662811">
          <w:marLeft w:val="0"/>
          <w:marRight w:val="0"/>
          <w:marTop w:val="0"/>
          <w:marBottom w:val="0"/>
          <w:divBdr>
            <w:top w:val="none" w:sz="0" w:space="0" w:color="auto"/>
            <w:left w:val="none" w:sz="0" w:space="0" w:color="auto"/>
            <w:bottom w:val="none" w:sz="0" w:space="0" w:color="auto"/>
            <w:right w:val="none" w:sz="0" w:space="0" w:color="auto"/>
          </w:divBdr>
        </w:div>
        <w:div w:id="1468233256">
          <w:marLeft w:val="0"/>
          <w:marRight w:val="0"/>
          <w:marTop w:val="0"/>
          <w:marBottom w:val="0"/>
          <w:divBdr>
            <w:top w:val="none" w:sz="0" w:space="0" w:color="auto"/>
            <w:left w:val="none" w:sz="0" w:space="0" w:color="auto"/>
            <w:bottom w:val="none" w:sz="0" w:space="0" w:color="auto"/>
            <w:right w:val="none" w:sz="0" w:space="0" w:color="auto"/>
          </w:divBdr>
        </w:div>
        <w:div w:id="1639607269">
          <w:marLeft w:val="0"/>
          <w:marRight w:val="0"/>
          <w:marTop w:val="0"/>
          <w:marBottom w:val="0"/>
          <w:divBdr>
            <w:top w:val="none" w:sz="0" w:space="0" w:color="auto"/>
            <w:left w:val="none" w:sz="0" w:space="0" w:color="auto"/>
            <w:bottom w:val="none" w:sz="0" w:space="0" w:color="auto"/>
            <w:right w:val="none" w:sz="0" w:space="0" w:color="auto"/>
          </w:divBdr>
        </w:div>
        <w:div w:id="1746953031">
          <w:marLeft w:val="0"/>
          <w:marRight w:val="0"/>
          <w:marTop w:val="0"/>
          <w:marBottom w:val="0"/>
          <w:divBdr>
            <w:top w:val="none" w:sz="0" w:space="0" w:color="auto"/>
            <w:left w:val="none" w:sz="0" w:space="0" w:color="auto"/>
            <w:bottom w:val="none" w:sz="0" w:space="0" w:color="auto"/>
            <w:right w:val="none" w:sz="0" w:space="0" w:color="auto"/>
          </w:divBdr>
        </w:div>
        <w:div w:id="1838763151">
          <w:marLeft w:val="0"/>
          <w:marRight w:val="0"/>
          <w:marTop w:val="0"/>
          <w:marBottom w:val="0"/>
          <w:divBdr>
            <w:top w:val="none" w:sz="0" w:space="0" w:color="auto"/>
            <w:left w:val="none" w:sz="0" w:space="0" w:color="auto"/>
            <w:bottom w:val="none" w:sz="0" w:space="0" w:color="auto"/>
            <w:right w:val="none" w:sz="0" w:space="0" w:color="auto"/>
          </w:divBdr>
        </w:div>
        <w:div w:id="1876499422">
          <w:marLeft w:val="0"/>
          <w:marRight w:val="0"/>
          <w:marTop w:val="0"/>
          <w:marBottom w:val="0"/>
          <w:divBdr>
            <w:top w:val="none" w:sz="0" w:space="0" w:color="auto"/>
            <w:left w:val="none" w:sz="0" w:space="0" w:color="auto"/>
            <w:bottom w:val="none" w:sz="0" w:space="0" w:color="auto"/>
            <w:right w:val="none" w:sz="0" w:space="0" w:color="auto"/>
          </w:divBdr>
        </w:div>
        <w:div w:id="1924296528">
          <w:marLeft w:val="0"/>
          <w:marRight w:val="0"/>
          <w:marTop w:val="0"/>
          <w:marBottom w:val="0"/>
          <w:divBdr>
            <w:top w:val="none" w:sz="0" w:space="0" w:color="auto"/>
            <w:left w:val="none" w:sz="0" w:space="0" w:color="auto"/>
            <w:bottom w:val="none" w:sz="0" w:space="0" w:color="auto"/>
            <w:right w:val="none" w:sz="0" w:space="0" w:color="auto"/>
          </w:divBdr>
        </w:div>
        <w:div w:id="1995641894">
          <w:marLeft w:val="0"/>
          <w:marRight w:val="0"/>
          <w:marTop w:val="0"/>
          <w:marBottom w:val="0"/>
          <w:divBdr>
            <w:top w:val="none" w:sz="0" w:space="0" w:color="auto"/>
            <w:left w:val="none" w:sz="0" w:space="0" w:color="auto"/>
            <w:bottom w:val="none" w:sz="0" w:space="0" w:color="auto"/>
            <w:right w:val="none" w:sz="0" w:space="0" w:color="auto"/>
          </w:divBdr>
        </w:div>
      </w:divsChild>
    </w:div>
    <w:div w:id="1970891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ducation/school/40043349.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nm.me.gov.ar/giga1/documentos/EL005385.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microsoft.com/office/2020/10/relationships/intelligence" Target="intelligence2.xml"/><Relationship Id="rId10" Type="http://schemas.openxmlformats.org/officeDocument/2006/relationships/hyperlink" Target="http://scielo.sld.cu/scielo.php?script=sci_arttext&amp;pid=S1815-76962020000100120" TargetMode="External"/><Relationship Id="rId4" Type="http://schemas.openxmlformats.org/officeDocument/2006/relationships/footnotes" Target="footnotes.xml"/><Relationship Id="rId9" Type="http://schemas.openxmlformats.org/officeDocument/2006/relationships/hyperlink" Target="https://revistas.pucp.edu.pe/index.php/educacion/article/view/19290/194%203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4900</Words>
  <Characters>26954</Characters>
  <Application>Microsoft Office Word</Application>
  <DocSecurity>0</DocSecurity>
  <Lines>224</Lines>
  <Paragraphs>63</Paragraphs>
  <ScaleCrop>false</ScaleCrop>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 Rico</dc:creator>
  <cp:keywords/>
  <dc:description/>
  <cp:lastModifiedBy>MARIA FERNANDA LUIS� MARTINEZ</cp:lastModifiedBy>
  <cp:revision>2</cp:revision>
  <dcterms:created xsi:type="dcterms:W3CDTF">2024-05-26T01:28:00Z</dcterms:created>
  <dcterms:modified xsi:type="dcterms:W3CDTF">2024-05-26T01:28:00Z</dcterms:modified>
</cp:coreProperties>
</file>