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092ACF52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</w:p>
    <w:p w14:paraId="03EE1E9C" w14:textId="280C1E10" w:rsidR="00341D04" w:rsidRDefault="00341D04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Lluvia Yamilet Silva Rosas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0F2939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</w:p>
    <w:p w14:paraId="01F865EE" w14:textId="75B98B9C" w:rsidR="002B54A2" w:rsidRPr="00D879E3" w:rsidRDefault="00341D04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21</w:t>
      </w: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lastRenderedPageBreak/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3E80AE60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64A765D3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C6714D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56AD40BD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4C403808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17FA6097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5DBC48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5BFCF12F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30067ECC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6A6BB1D0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27710D46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8C7108A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345BCFA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580E9A19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39158437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43C646E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49BA89F2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18DB4CED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42E7C267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6F191D3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AB313C8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197BBCDA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57DB8AE5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039FE8E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6DC31D32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598AF68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3EAD5485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2D61A539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6D8EE354" w14:textId="77777777" w:rsidR="006A10A3" w:rsidRDefault="006A10A3" w:rsidP="002B54A2">
      <w:pPr>
        <w:pStyle w:val="Sinespaciado"/>
        <w:ind w:firstLine="0"/>
        <w:rPr>
          <w:sz w:val="20"/>
          <w:szCs w:val="20"/>
        </w:rPr>
      </w:pPr>
    </w:p>
    <w:p w14:paraId="1DA1F310" w14:textId="396AA8F2" w:rsidR="006A10A3" w:rsidRPr="006A10A3" w:rsidRDefault="006A10A3" w:rsidP="006A10A3">
      <w:pPr>
        <w:pStyle w:val="Sinespaciado"/>
        <w:ind w:firstLine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A1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Escrito de la Narrativa Digital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0CC6474" w14:textId="7628DBBA" w:rsidR="0080428F" w:rsidRPr="006A10A3" w:rsidRDefault="0080428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>Durante el octavo semestre de la carrera de licenciatura en educaci</w:t>
      </w:r>
      <w:r w:rsidR="006A10A3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preescolar, se llev</w:t>
      </w:r>
      <w:r w:rsidR="006A10A3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 a cabo la jornada de </w:t>
      </w:r>
      <w:r w:rsidR="006A10A3">
        <w:rPr>
          <w:rFonts w:ascii="Times New Roman" w:hAnsi="Times New Roman" w:cs="Times New Roman"/>
          <w:noProof/>
          <w:sz w:val="24"/>
          <w:szCs w:val="24"/>
        </w:rPr>
        <w:t>prá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ctica intensiva de enero al 14 de junio.  En el jard</w:t>
      </w:r>
      <w:r w:rsidR="006A10A3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de niños Mar</w:t>
      </w:r>
      <w:r w:rsidR="006A10A3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6A10A3">
        <w:rPr>
          <w:rFonts w:ascii="Times New Roman" w:hAnsi="Times New Roman" w:cs="Times New Roman"/>
          <w:noProof/>
          <w:sz w:val="24"/>
          <w:szCs w:val="24"/>
        </w:rPr>
        <w:t>P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eña Ramos ubicado en la colonia </w:t>
      </w:r>
      <w:r w:rsidR="00D17491">
        <w:rPr>
          <w:rFonts w:ascii="Times New Roman" w:hAnsi="Times New Roman" w:cs="Times New Roman"/>
          <w:noProof/>
          <w:sz w:val="24"/>
          <w:szCs w:val="24"/>
        </w:rPr>
        <w:t>G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onzales </w:t>
      </w:r>
      <w:r w:rsidR="00D17491">
        <w:rPr>
          <w:rFonts w:ascii="Times New Roman" w:hAnsi="Times New Roman" w:cs="Times New Roman"/>
          <w:noProof/>
          <w:sz w:val="24"/>
          <w:szCs w:val="24"/>
        </w:rPr>
        <w:t>C</w:t>
      </w:r>
      <w:r w:rsidRPr="006A10A3">
        <w:rPr>
          <w:rFonts w:ascii="Times New Roman" w:hAnsi="Times New Roman" w:cs="Times New Roman"/>
          <w:noProof/>
          <w:sz w:val="24"/>
          <w:szCs w:val="24"/>
        </w:rPr>
        <w:t>epeda, se trabaj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 con el grupo de segundo grado secci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B con un total de 27 alumnos conformado por 11 niños y 16 niñas.</w:t>
      </w:r>
    </w:p>
    <w:p w14:paraId="75339571" w14:textId="68CA891D" w:rsidR="0080428F" w:rsidRPr="006A10A3" w:rsidRDefault="0080428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Durante este periodo fue de </w:t>
      </w:r>
      <w:r w:rsidR="00D17491">
        <w:rPr>
          <w:rFonts w:ascii="Times New Roman" w:hAnsi="Times New Roman" w:cs="Times New Roman"/>
          <w:noProof/>
          <w:sz w:val="24"/>
          <w:szCs w:val="24"/>
        </w:rPr>
        <w:t>ú</w:t>
      </w:r>
      <w:r w:rsidRPr="006A10A3">
        <w:rPr>
          <w:rFonts w:ascii="Times New Roman" w:hAnsi="Times New Roman" w:cs="Times New Roman"/>
          <w:noProof/>
          <w:sz w:val="24"/>
          <w:szCs w:val="24"/>
        </w:rPr>
        <w:t>til importancia crear buena din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mica con el personal del jard</w:t>
      </w:r>
      <w:r w:rsidR="00D17491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n, en cu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nto al profesor t</w:t>
      </w:r>
      <w:r w:rsidR="00D17491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>tular la considero buena ya que al terminar la clase, daba sugerencias de como mejorar, asi como tambi</w:t>
      </w:r>
      <w:r w:rsidR="00D17491">
        <w:rPr>
          <w:rFonts w:ascii="Times New Roman" w:hAnsi="Times New Roman" w:cs="Times New Roman"/>
          <w:noProof/>
          <w:sz w:val="24"/>
          <w:szCs w:val="24"/>
        </w:rPr>
        <w:t>é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brindaba consejos que me pod</w:t>
      </w:r>
      <w:r w:rsidR="00D17491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>an ayudar, en cualquier momento mostr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 apoyo hacia lo ac</w:t>
      </w:r>
      <w:r w:rsidR="00D17491">
        <w:rPr>
          <w:rFonts w:ascii="Times New Roman" w:hAnsi="Times New Roman" w:cs="Times New Roman"/>
          <w:noProof/>
          <w:sz w:val="24"/>
          <w:szCs w:val="24"/>
        </w:rPr>
        <w:t>a</w:t>
      </w:r>
      <w:r w:rsidRPr="006A10A3">
        <w:rPr>
          <w:rFonts w:ascii="Times New Roman" w:hAnsi="Times New Roman" w:cs="Times New Roman"/>
          <w:noProof/>
          <w:sz w:val="24"/>
          <w:szCs w:val="24"/>
        </w:rPr>
        <w:t>d</w:t>
      </w:r>
      <w:r w:rsidR="00D17491">
        <w:rPr>
          <w:rFonts w:ascii="Times New Roman" w:hAnsi="Times New Roman" w:cs="Times New Roman"/>
          <w:noProof/>
          <w:sz w:val="24"/>
          <w:szCs w:val="24"/>
        </w:rPr>
        <w:t>e</w:t>
      </w:r>
      <w:r w:rsidRPr="006A10A3">
        <w:rPr>
          <w:rFonts w:ascii="Times New Roman" w:hAnsi="Times New Roman" w:cs="Times New Roman"/>
          <w:noProof/>
          <w:sz w:val="24"/>
          <w:szCs w:val="24"/>
        </w:rPr>
        <w:t>mico pero tambi</w:t>
      </w:r>
      <w:r w:rsidR="00D17491">
        <w:rPr>
          <w:rFonts w:ascii="Times New Roman" w:hAnsi="Times New Roman" w:cs="Times New Roman"/>
          <w:noProof/>
          <w:sz w:val="24"/>
          <w:szCs w:val="24"/>
        </w:rPr>
        <w:t>é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en lo personal, en cuanto a los padres de familia, siempre se les mostr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 apoyo y respeto hacia a ellos asi como tambi</w:t>
      </w:r>
      <w:r w:rsidR="00D17491">
        <w:rPr>
          <w:rFonts w:ascii="Times New Roman" w:hAnsi="Times New Roman" w:cs="Times New Roman"/>
          <w:noProof/>
          <w:sz w:val="24"/>
          <w:szCs w:val="24"/>
        </w:rPr>
        <w:t>é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n ellos lo mostraban hacia mi, nunca se presento algun problema siempre se mostraban dispuestos a las actividades o materiales que se les solicitaba y en cuanto a los niños siempre trate de brindarles mi confianza y amor para que ellos se sintieran seguros y en confianza mas que nada para fomentar el 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nimo de asistir al jard</w:t>
      </w:r>
      <w:r w:rsidR="00D17491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>n de niños.</w:t>
      </w:r>
    </w:p>
    <w:p w14:paraId="4451898F" w14:textId="77D0095B" w:rsidR="0080428F" w:rsidRPr="006A10A3" w:rsidRDefault="0080428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>Los instrumentos que se aplicaron durante la jornada de pr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ctica fueron las r</w:t>
      </w:r>
      <w:r w:rsidR="00D17491">
        <w:rPr>
          <w:rFonts w:ascii="Times New Roman" w:hAnsi="Times New Roman" w:cs="Times New Roman"/>
          <w:noProof/>
          <w:sz w:val="24"/>
          <w:szCs w:val="24"/>
        </w:rPr>
        <w:t>ú</w:t>
      </w:r>
      <w:r w:rsidRPr="006A10A3">
        <w:rPr>
          <w:rFonts w:ascii="Times New Roman" w:hAnsi="Times New Roman" w:cs="Times New Roman"/>
          <w:noProof/>
          <w:sz w:val="24"/>
          <w:szCs w:val="24"/>
        </w:rPr>
        <w:t>bricas y la evaluaci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n continua. </w:t>
      </w:r>
    </w:p>
    <w:p w14:paraId="2DDADB5D" w14:textId="6D7683AF" w:rsidR="002F681F" w:rsidRPr="006A10A3" w:rsidRDefault="002F681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>Las fortalezas que considero durante esta practica fue la puntualidad, ya que al ser puntual me alcanzaba el tiempo de preperar la clase, el espacio y el material, asi como tambien el estar dispuesta  a lo que solicitaba, el tomar en cuenta las sugerencias, mejorar en mis areas de oportunidad, el tomar en cuenta los intereses y las necesidades de los alumnos para las actividades.</w:t>
      </w:r>
    </w:p>
    <w:p w14:paraId="783F987D" w14:textId="1AF4E855" w:rsidR="002F681F" w:rsidRPr="006A10A3" w:rsidRDefault="002F681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Mientras que algunas de mis debilidades fue que mostre falta de responsabilidad en cuanto a mi caja de herramientas ya que aveces no la tenia completa y el implementar mas estrategias de control de grupo. </w:t>
      </w:r>
    </w:p>
    <w:p w14:paraId="4FF6D9C7" w14:textId="41F1BEF8" w:rsidR="002F681F" w:rsidRPr="006A10A3" w:rsidRDefault="002F681F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>Despu</w:t>
      </w:r>
      <w:r w:rsidR="00D17491">
        <w:rPr>
          <w:rFonts w:ascii="Times New Roman" w:hAnsi="Times New Roman" w:cs="Times New Roman"/>
          <w:noProof/>
          <w:sz w:val="24"/>
          <w:szCs w:val="24"/>
        </w:rPr>
        <w:t>é</w:t>
      </w:r>
      <w:r w:rsidRPr="006A10A3">
        <w:rPr>
          <w:rFonts w:ascii="Times New Roman" w:hAnsi="Times New Roman" w:cs="Times New Roman"/>
          <w:noProof/>
          <w:sz w:val="24"/>
          <w:szCs w:val="24"/>
        </w:rPr>
        <w:t>s de esta pr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ctica aprend</w:t>
      </w:r>
      <w:r w:rsidR="00D17491">
        <w:rPr>
          <w:rFonts w:ascii="Times New Roman" w:hAnsi="Times New Roman" w:cs="Times New Roman"/>
          <w:noProof/>
          <w:sz w:val="24"/>
          <w:szCs w:val="24"/>
        </w:rPr>
        <w:t>í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 el como se trabaja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A10A3">
        <w:rPr>
          <w:rFonts w:ascii="Times New Roman" w:hAnsi="Times New Roman" w:cs="Times New Roman"/>
          <w:noProof/>
          <w:sz w:val="24"/>
          <w:szCs w:val="24"/>
        </w:rPr>
        <w:t>en realidad, es por ello que como futura licenciada en educaci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n preescolar me comprometo a ser responsable en los horarios, documentos, planeaciones, diarios, expediente y todo lo que 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 xml:space="preserve">se </w:t>
      </w:r>
      <w:r w:rsidRPr="006A10A3">
        <w:rPr>
          <w:rFonts w:ascii="Times New Roman" w:hAnsi="Times New Roman" w:cs="Times New Roman"/>
          <w:noProof/>
          <w:sz w:val="24"/>
          <w:szCs w:val="24"/>
        </w:rPr>
        <w:t xml:space="preserve">debe de llevar acabo 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>para desarrollar aprendizjaes significativos en los niños, asi como tambien me comprometo a no dejar de aprender y prepararme mas profesionalmente, tomar cursos o diplomados que mejoren en mi proceso de aprendizaje, otro de mis compromisos es nunca perder la falta de respeto, respetar a mis superiores y respetar las opiniones y sugerencias de mis masestros, compañeros y padres de familia, me compromet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 xml:space="preserve"> a dar una educacion de excelencia y estar al pendiente de las necesidades e intereses de cada uno de mis futuros alumnos y por ultimo me compromet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 xml:space="preserve"> a siempre estar dedicada a mi profesi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>n por vocaci</w:t>
      </w:r>
      <w:r w:rsidR="00D17491">
        <w:rPr>
          <w:rFonts w:ascii="Times New Roman" w:hAnsi="Times New Roman" w:cs="Times New Roman"/>
          <w:noProof/>
          <w:sz w:val="24"/>
          <w:szCs w:val="24"/>
        </w:rPr>
        <w:t>ó</w:t>
      </w:r>
      <w:r w:rsidR="00370770" w:rsidRPr="006A10A3">
        <w:rPr>
          <w:rFonts w:ascii="Times New Roman" w:hAnsi="Times New Roman" w:cs="Times New Roman"/>
          <w:noProof/>
          <w:sz w:val="24"/>
          <w:szCs w:val="24"/>
        </w:rPr>
        <w:t xml:space="preserve">n. </w:t>
      </w:r>
    </w:p>
    <w:p w14:paraId="50FCB9C0" w14:textId="512768F6" w:rsidR="00370770" w:rsidRDefault="006A10A3" w:rsidP="006A10A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A10A3">
        <w:rPr>
          <w:rFonts w:ascii="Times New Roman" w:hAnsi="Times New Roman" w:cs="Times New Roman"/>
          <w:noProof/>
          <w:sz w:val="24"/>
          <w:szCs w:val="24"/>
        </w:rPr>
        <w:t>Asi tambien durante esta jornada de pr</w:t>
      </w:r>
      <w:r w:rsidR="00D17491">
        <w:rPr>
          <w:rFonts w:ascii="Times New Roman" w:hAnsi="Times New Roman" w:cs="Times New Roman"/>
          <w:noProof/>
          <w:sz w:val="24"/>
          <w:szCs w:val="24"/>
        </w:rPr>
        <w:t>á</w:t>
      </w:r>
      <w:r w:rsidRPr="006A10A3">
        <w:rPr>
          <w:rFonts w:ascii="Times New Roman" w:hAnsi="Times New Roman" w:cs="Times New Roman"/>
          <w:noProof/>
          <w:sz w:val="24"/>
          <w:szCs w:val="24"/>
        </w:rPr>
        <w:t>ctica se trato de trabajar con los 4 campos formativos, unos se trabajaron mas que otro como lo son el cmapo de lenguajes y de lo humano y lo comunitario como el de etica y saberes y pensamiento cientifico pero si se aplicaron</w:t>
      </w:r>
      <w:r w:rsidR="00D1749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BD09F83" w14:textId="77777777" w:rsidR="0080428F" w:rsidRDefault="0080428F" w:rsidP="00FF0B3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EEBF34" w14:textId="12775ADF" w:rsidR="00090351" w:rsidRDefault="00090351" w:rsidP="00FF0B3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LINK DEL VIDEO </w:t>
      </w:r>
    </w:p>
    <w:p w14:paraId="19BAD7B6" w14:textId="12743A86" w:rsidR="00090351" w:rsidRDefault="00000000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  <w:hyperlink r:id="rId6" w:history="1">
        <w:r w:rsidR="00090351" w:rsidRPr="00CF205F">
          <w:rPr>
            <w:rStyle w:val="Hipervnculo"/>
            <w:rFonts w:ascii="Candara Light" w:hAnsi="Candara Light" w:cs="Calibri"/>
            <w:noProof/>
            <w:sz w:val="28"/>
            <w:szCs w:val="28"/>
          </w:rPr>
          <w:t>https://youtu.be/cqhkxO33zeM?feature=shared</w:t>
        </w:r>
      </w:hyperlink>
    </w:p>
    <w:p w14:paraId="6B53116F" w14:textId="77777777" w:rsidR="00090351" w:rsidRDefault="00090351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DFD52CF" w14:textId="77777777" w:rsidR="0080428F" w:rsidRDefault="0080428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4F11906B" w14:textId="77777777" w:rsidR="0080428F" w:rsidRDefault="0080428F" w:rsidP="00D17491">
      <w:pPr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lastRenderedPageBreak/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62"/>
        <w:gridCol w:w="9639"/>
      </w:tblGrid>
      <w:tr w:rsidR="006D7DE3" w:rsidRPr="002B54A2" w14:paraId="43120986" w14:textId="77777777" w:rsidTr="00D1749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9639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9639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9639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9639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D17491">
        <w:trPr>
          <w:trHeight w:val="428"/>
        </w:trPr>
        <w:tc>
          <w:tcPr>
            <w:tcW w:w="10201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9639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9639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D1749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9639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850"/>
      </w:tblGrid>
      <w:tr w:rsidR="00F37A81" w:rsidRPr="002B54A2" w14:paraId="4B290BA5" w14:textId="35A8124B" w:rsidTr="00D17491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D17491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850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D17491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850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D17491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850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D17491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850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D17491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850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D17491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850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D17491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850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D17491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8 minutos o menor a 30 seg.</w:t>
            </w:r>
          </w:p>
        </w:tc>
        <w:tc>
          <w:tcPr>
            <w:tcW w:w="850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D17491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850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D17491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850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6A10A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090351"/>
    <w:rsid w:val="00091F20"/>
    <w:rsid w:val="001242D7"/>
    <w:rsid w:val="001C0D31"/>
    <w:rsid w:val="002B54A2"/>
    <w:rsid w:val="002F681F"/>
    <w:rsid w:val="00341D04"/>
    <w:rsid w:val="00370770"/>
    <w:rsid w:val="003F0261"/>
    <w:rsid w:val="00432EF1"/>
    <w:rsid w:val="00514BDA"/>
    <w:rsid w:val="00581135"/>
    <w:rsid w:val="006A10A3"/>
    <w:rsid w:val="006B0304"/>
    <w:rsid w:val="006D7DE3"/>
    <w:rsid w:val="006F2626"/>
    <w:rsid w:val="006F6E75"/>
    <w:rsid w:val="0080428F"/>
    <w:rsid w:val="00B328F0"/>
    <w:rsid w:val="00C761DE"/>
    <w:rsid w:val="00D17491"/>
    <w:rsid w:val="00DE0154"/>
    <w:rsid w:val="00F37A81"/>
    <w:rsid w:val="00F50942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903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qhkxO33zeM?feature=sha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1843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jorge silva</cp:lastModifiedBy>
  <cp:revision>6</cp:revision>
  <dcterms:created xsi:type="dcterms:W3CDTF">2024-06-19T18:50:00Z</dcterms:created>
  <dcterms:modified xsi:type="dcterms:W3CDTF">2024-06-19T21:40:00Z</dcterms:modified>
</cp:coreProperties>
</file>